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A4" w:rsidRPr="00A65DA4" w:rsidRDefault="00A65DA4">
      <w:pPr>
        <w:rPr>
          <w:rFonts w:ascii="Arial" w:hAnsi="Arial" w:cs="Arial"/>
        </w:rPr>
      </w:pPr>
      <w:r w:rsidRPr="00A65DA4">
        <w:rPr>
          <w:rFonts w:ascii="Arial" w:hAnsi="Arial" w:cs="Arial"/>
        </w:rPr>
        <w:t>Índice de imágenes</w:t>
      </w:r>
      <w:bookmarkStart w:id="0" w:name="_GoBack"/>
      <w:bookmarkEnd w:id="0"/>
    </w:p>
    <w:p w:rsidR="00A65DA4" w:rsidRDefault="00A65DA4" w:rsidP="00A65DA4">
      <w:pPr>
        <w:pStyle w:val="Prrafobsico"/>
        <w:spacing w:line="300" w:lineRule="auto"/>
        <w:jc w:val="both"/>
        <w:rPr>
          <w:rFonts w:ascii="Arial" w:eastAsiaTheme="minorHAnsi" w:hAnsi="Arial" w:cs="Arial"/>
          <w:color w:val="auto"/>
          <w:sz w:val="16"/>
          <w:szCs w:val="22"/>
          <w:lang w:val="es-ES"/>
        </w:rPr>
      </w:pPr>
      <w:r w:rsidRPr="00A65DA4">
        <w:rPr>
          <w:rFonts w:ascii="Arial" w:eastAsiaTheme="minorHAnsi" w:hAnsi="Arial" w:cs="Arial"/>
          <w:color w:val="auto"/>
          <w:sz w:val="16"/>
          <w:szCs w:val="22"/>
          <w:lang w:val="es-ES"/>
        </w:rPr>
        <w:t>Portada. Cartografía del paisaje cultural del área metropolitana de Sevilla, escenario de un sistema patrimonial difuso que demanda estrategias de gestión integral para una correcta puesta en valor de sus recursos. Fuente: Gráfico del autor.</w:t>
      </w:r>
    </w:p>
    <w:p w:rsidR="00A65DA4" w:rsidRPr="00A65DA4" w:rsidRDefault="00A65DA4" w:rsidP="00A65DA4">
      <w:pPr>
        <w:pStyle w:val="Prrafobsico"/>
        <w:spacing w:line="300" w:lineRule="auto"/>
        <w:jc w:val="both"/>
        <w:rPr>
          <w:rFonts w:ascii="Arial" w:eastAsiaTheme="minorHAnsi" w:hAnsi="Arial" w:cs="Arial"/>
          <w:color w:val="auto"/>
          <w:sz w:val="16"/>
          <w:szCs w:val="22"/>
          <w:lang w:val="es-ES"/>
        </w:rPr>
      </w:pPr>
    </w:p>
    <w:p w:rsidR="00A65DA4" w:rsidRDefault="00A65DA4" w:rsidP="00A65DA4">
      <w:pPr>
        <w:pStyle w:val="Prrafobsico"/>
        <w:suppressAutoHyphens/>
        <w:spacing w:line="300" w:lineRule="auto"/>
        <w:jc w:val="both"/>
        <w:rPr>
          <w:rFonts w:ascii="Arial" w:eastAsiaTheme="minorHAnsi" w:hAnsi="Arial" w:cs="Arial"/>
          <w:color w:val="auto"/>
          <w:sz w:val="16"/>
          <w:szCs w:val="22"/>
          <w:lang w:val="es-ES"/>
        </w:rPr>
      </w:pPr>
      <w:r w:rsidRPr="00A65DA4">
        <w:rPr>
          <w:rFonts w:ascii="Arial" w:eastAsiaTheme="minorHAnsi" w:hAnsi="Arial" w:cs="Arial"/>
          <w:color w:val="auto"/>
          <w:sz w:val="16"/>
          <w:szCs w:val="22"/>
          <w:lang w:val="es-ES"/>
        </w:rPr>
        <w:t>Figura 1. Categorías BIC adoptadas por las diferentes leyes de patrimonio autonómicas en el contexto nacional vigentes en la actualidad (diciembre de 2019). Fuente: Tabla del autor.</w:t>
      </w:r>
    </w:p>
    <w:p w:rsidR="00A65DA4" w:rsidRPr="00A65DA4" w:rsidRDefault="00A65DA4" w:rsidP="00A65DA4">
      <w:pPr>
        <w:pStyle w:val="Prrafobsico"/>
        <w:suppressAutoHyphens/>
        <w:spacing w:line="300" w:lineRule="auto"/>
        <w:jc w:val="both"/>
        <w:rPr>
          <w:rFonts w:ascii="Arial" w:eastAsiaTheme="minorHAnsi" w:hAnsi="Arial" w:cs="Arial"/>
          <w:color w:val="auto"/>
          <w:sz w:val="16"/>
          <w:szCs w:val="22"/>
          <w:lang w:val="es-ES"/>
        </w:rPr>
      </w:pPr>
    </w:p>
    <w:p w:rsidR="00A65DA4" w:rsidRDefault="00A65DA4" w:rsidP="00A65DA4">
      <w:pPr>
        <w:suppressAutoHyphens/>
        <w:autoSpaceDE w:val="0"/>
        <w:autoSpaceDN w:val="0"/>
        <w:adjustRightInd w:val="0"/>
        <w:spacing w:after="0" w:line="300" w:lineRule="auto"/>
        <w:jc w:val="both"/>
        <w:textAlignment w:val="center"/>
        <w:rPr>
          <w:rFonts w:ascii="Arial" w:hAnsi="Arial" w:cs="Arial"/>
          <w:sz w:val="16"/>
        </w:rPr>
      </w:pPr>
      <w:r w:rsidRPr="00A65DA4">
        <w:rPr>
          <w:rFonts w:ascii="Arial" w:hAnsi="Arial" w:cs="Arial"/>
          <w:sz w:val="16"/>
        </w:rPr>
        <w:t>Figura 2. Incorporación de las categorías de protección asociadas al paisaje por las diferentes leyes de patrimonio autonómicas en el contexto nacional vigentes en la actualidad (diciembre de 2019), organizadas de acuerdo a su fecha de publicación. Fuente: Tabla del autor.</w:t>
      </w:r>
    </w:p>
    <w:p w:rsidR="00A65DA4" w:rsidRPr="00A65DA4" w:rsidRDefault="00A65DA4" w:rsidP="00A65DA4">
      <w:pPr>
        <w:suppressAutoHyphens/>
        <w:autoSpaceDE w:val="0"/>
        <w:autoSpaceDN w:val="0"/>
        <w:adjustRightInd w:val="0"/>
        <w:spacing w:after="0" w:line="300" w:lineRule="auto"/>
        <w:jc w:val="both"/>
        <w:textAlignment w:val="center"/>
        <w:rPr>
          <w:rFonts w:ascii="Arial" w:hAnsi="Arial" w:cs="Arial"/>
          <w:sz w:val="16"/>
        </w:rPr>
      </w:pPr>
    </w:p>
    <w:p w:rsidR="00A65DA4" w:rsidRDefault="00A65DA4" w:rsidP="00A65DA4">
      <w:pPr>
        <w:pStyle w:val="Prrafobsico"/>
        <w:spacing w:line="300" w:lineRule="auto"/>
        <w:jc w:val="both"/>
        <w:rPr>
          <w:rFonts w:ascii="Arial" w:eastAsiaTheme="minorHAnsi" w:hAnsi="Arial" w:cs="Arial"/>
          <w:color w:val="auto"/>
          <w:sz w:val="16"/>
          <w:szCs w:val="22"/>
          <w:lang w:val="es-ES"/>
        </w:rPr>
      </w:pPr>
      <w:r w:rsidRPr="00A65DA4">
        <w:rPr>
          <w:rFonts w:ascii="Arial" w:eastAsiaTheme="minorHAnsi" w:hAnsi="Arial" w:cs="Arial"/>
          <w:color w:val="auto"/>
          <w:sz w:val="16"/>
          <w:szCs w:val="22"/>
          <w:lang w:val="es-ES"/>
        </w:rPr>
        <w:t xml:space="preserve">Figura 3. Comparación </w:t>
      </w:r>
      <w:r w:rsidRPr="00A65DA4">
        <w:rPr>
          <w:rFonts w:ascii="Arial" w:hAnsi="Arial" w:cs="Arial"/>
          <w:sz w:val="16"/>
        </w:rPr>
        <w:t xml:space="preserve">en las leyes de patrimonio autonómicas entre la presencia de figuras de gestión y categorías de protección asociadas al paisaje. </w:t>
      </w:r>
      <w:r w:rsidRPr="00A65DA4">
        <w:rPr>
          <w:rFonts w:ascii="Arial" w:eastAsiaTheme="minorHAnsi" w:hAnsi="Arial" w:cs="Arial"/>
          <w:color w:val="auto"/>
          <w:sz w:val="16"/>
          <w:szCs w:val="22"/>
          <w:lang w:val="es-ES"/>
        </w:rPr>
        <w:t>Fuente: Tabla del autor.</w:t>
      </w:r>
    </w:p>
    <w:p w:rsidR="00A65DA4" w:rsidRPr="00A65DA4" w:rsidRDefault="00A65DA4" w:rsidP="00A65DA4">
      <w:pPr>
        <w:pStyle w:val="Prrafobsico"/>
        <w:spacing w:line="300" w:lineRule="auto"/>
        <w:jc w:val="both"/>
        <w:rPr>
          <w:rFonts w:ascii="Arial" w:hAnsi="Arial" w:cs="Arial"/>
          <w:sz w:val="16"/>
        </w:rPr>
      </w:pPr>
    </w:p>
    <w:p w:rsidR="00A65DA4" w:rsidRPr="00A65DA4" w:rsidRDefault="00A65DA4" w:rsidP="00A65DA4">
      <w:pPr>
        <w:pStyle w:val="Prrafobsico"/>
        <w:spacing w:line="300" w:lineRule="auto"/>
        <w:jc w:val="both"/>
        <w:rPr>
          <w:rFonts w:ascii="Arial" w:hAnsi="Arial" w:cs="Arial"/>
          <w:sz w:val="16"/>
        </w:rPr>
      </w:pPr>
      <w:r w:rsidRPr="00A65DA4">
        <w:rPr>
          <w:rFonts w:ascii="Arial" w:eastAsiaTheme="minorHAnsi" w:hAnsi="Arial" w:cs="Arial"/>
          <w:color w:val="auto"/>
          <w:sz w:val="16"/>
          <w:szCs w:val="22"/>
          <w:lang w:val="es-ES"/>
        </w:rPr>
        <w:t xml:space="preserve">Figura 4. Comparación </w:t>
      </w:r>
      <w:r w:rsidRPr="00A65DA4">
        <w:rPr>
          <w:rFonts w:ascii="Arial" w:hAnsi="Arial" w:cs="Arial"/>
          <w:sz w:val="16"/>
        </w:rPr>
        <w:t xml:space="preserve">en las leyes de patrimonio autonómicas entre la presencia de figuras de gestión y categorías de protección asociadas al patrimonio arqueológico. </w:t>
      </w:r>
      <w:r w:rsidRPr="00A65DA4">
        <w:rPr>
          <w:rFonts w:ascii="Arial" w:eastAsiaTheme="minorHAnsi" w:hAnsi="Arial" w:cs="Arial"/>
          <w:color w:val="auto"/>
          <w:sz w:val="16"/>
          <w:szCs w:val="22"/>
          <w:lang w:val="es-ES"/>
        </w:rPr>
        <w:t>Fuente: Tabla del autor.</w:t>
      </w:r>
    </w:p>
    <w:p w:rsidR="00A65DA4" w:rsidRDefault="00A65DA4"/>
    <w:sectPr w:rsidR="00A65D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A4"/>
    <w:rsid w:val="006D5718"/>
    <w:rsid w:val="00A65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7485"/>
  <w15:chartTrackingRefBased/>
  <w15:docId w15:val="{B1645155-6B38-4BB3-BCBC-59226A66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A65DA4"/>
    <w:pPr>
      <w:autoSpaceDE w:val="0"/>
      <w:autoSpaceDN w:val="0"/>
      <w:adjustRightInd w:val="0"/>
      <w:spacing w:after="0" w:line="288" w:lineRule="auto"/>
      <w:textAlignment w:val="center"/>
    </w:pPr>
    <w:rPr>
      <w:rFonts w:ascii="MinionPro-Regular" w:eastAsia="Yu Gothic" w:hAnsi="MinionPro-Regular" w:cs="MinionPro-Regular"/>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923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López Sánchez</dc:creator>
  <cp:keywords/>
  <dc:description/>
  <cp:lastModifiedBy>Marina López Sánchez</cp:lastModifiedBy>
  <cp:revision>1</cp:revision>
  <dcterms:created xsi:type="dcterms:W3CDTF">2020-01-10T18:52:00Z</dcterms:created>
  <dcterms:modified xsi:type="dcterms:W3CDTF">2020-01-10T18:57:00Z</dcterms:modified>
</cp:coreProperties>
</file>