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718" w:rsidRPr="005E106E" w:rsidRDefault="005E106E" w:rsidP="005E106E">
      <w:pPr>
        <w:spacing w:line="300" w:lineRule="auto"/>
        <w:jc w:val="both"/>
        <w:rPr>
          <w:rFonts w:ascii="Arial" w:hAnsi="Arial" w:cs="Arial"/>
          <w:sz w:val="20"/>
          <w:szCs w:val="20"/>
        </w:rPr>
      </w:pPr>
      <w:r w:rsidRPr="005E106E">
        <w:rPr>
          <w:rFonts w:ascii="Arial" w:hAnsi="Arial" w:cs="Arial"/>
          <w:sz w:val="20"/>
          <w:szCs w:val="20"/>
        </w:rPr>
        <w:t>Currículum de los autores</w:t>
      </w:r>
    </w:p>
    <w:p w:rsidR="005E106E" w:rsidRPr="005E106E" w:rsidRDefault="005E106E" w:rsidP="005E106E">
      <w:pPr>
        <w:spacing w:line="300" w:lineRule="auto"/>
        <w:jc w:val="both"/>
        <w:rPr>
          <w:rFonts w:ascii="Arial" w:hAnsi="Arial" w:cs="Arial"/>
          <w:sz w:val="20"/>
          <w:szCs w:val="20"/>
        </w:rPr>
      </w:pPr>
    </w:p>
    <w:p w:rsidR="005E106E" w:rsidRDefault="005E106E" w:rsidP="005E106E">
      <w:pPr>
        <w:spacing w:line="300" w:lineRule="auto"/>
        <w:jc w:val="both"/>
        <w:rPr>
          <w:rFonts w:ascii="Arial" w:hAnsi="Arial" w:cs="Arial"/>
          <w:b/>
          <w:sz w:val="20"/>
          <w:szCs w:val="20"/>
        </w:rPr>
      </w:pPr>
      <w:r w:rsidRPr="005E106E">
        <w:rPr>
          <w:rFonts w:ascii="Arial" w:hAnsi="Arial" w:cs="Arial"/>
          <w:b/>
          <w:sz w:val="20"/>
          <w:szCs w:val="20"/>
        </w:rPr>
        <w:t>Marina López Sánchez</w:t>
      </w:r>
    </w:p>
    <w:p w:rsidR="0009460B" w:rsidRPr="005E106E" w:rsidRDefault="0009460B" w:rsidP="005E106E">
      <w:pPr>
        <w:spacing w:line="300" w:lineRule="auto"/>
        <w:jc w:val="both"/>
        <w:rPr>
          <w:rFonts w:ascii="Arial" w:hAnsi="Arial" w:cs="Arial"/>
          <w:b/>
          <w:sz w:val="20"/>
          <w:szCs w:val="20"/>
        </w:rPr>
      </w:pPr>
      <w:r>
        <w:rPr>
          <w:rFonts w:ascii="Arial" w:hAnsi="Arial" w:cs="Arial"/>
          <w:b/>
          <w:noProof/>
          <w:sz w:val="20"/>
          <w:szCs w:val="20"/>
          <w:lang w:eastAsia="es-ES"/>
        </w:rPr>
        <w:drawing>
          <wp:inline distT="0" distB="0" distL="0" distR="0">
            <wp:extent cx="1962150" cy="1962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TO CV COLOR - cuadrada - cop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2150" cy="1962150"/>
                    </a:xfrm>
                    <a:prstGeom prst="rect">
                      <a:avLst/>
                    </a:prstGeom>
                  </pic:spPr>
                </pic:pic>
              </a:graphicData>
            </a:graphic>
          </wp:inline>
        </w:drawing>
      </w:r>
    </w:p>
    <w:p w:rsidR="005E106E" w:rsidRPr="005E106E" w:rsidRDefault="005E106E" w:rsidP="005E106E">
      <w:pPr>
        <w:spacing w:line="300" w:lineRule="auto"/>
        <w:jc w:val="both"/>
        <w:rPr>
          <w:rFonts w:ascii="Arial" w:hAnsi="Arial" w:cs="Arial"/>
          <w:sz w:val="20"/>
          <w:szCs w:val="20"/>
          <w:lang w:val="es-ES_tradnl"/>
        </w:rPr>
      </w:pPr>
      <w:r w:rsidRPr="005E106E">
        <w:rPr>
          <w:rFonts w:ascii="Arial" w:hAnsi="Arial" w:cs="Arial"/>
          <w:sz w:val="20"/>
          <w:szCs w:val="20"/>
          <w:lang w:val="es-ES_tradnl"/>
        </w:rPr>
        <w:t>Arquitecta (E.T.S. de Arquitectura de la Universidad de Sevilla, 2016). Actualmente realiza sus estudios de doctorado en el Programa de Doctorado en Arquitectura de la Universidad de Sevilla. En 2017 se le concede la Ayuda para la Formación de Profesorado Universitario (FPU) del Ministerio de Educación, Cultura y Deporte para el desarrollo de su investigación doctoral, a través de la cual se formaliza un contrato vigente con la Universidad de Sevilla como Personal Investigador en Formación.</w:t>
      </w:r>
      <w:r w:rsidRPr="005E106E">
        <w:rPr>
          <w:rFonts w:ascii="Arial" w:hAnsi="Arial" w:cs="Arial"/>
          <w:sz w:val="20"/>
          <w:szCs w:val="20"/>
          <w:lang w:val="es-ES_tradnl"/>
        </w:rPr>
        <w:t xml:space="preserve"> Imparte docencia para el Departamento de Proyectos Arquitectónicos de la E.T.S. de Arquitectura de dicha universidad desde 2018.</w:t>
      </w:r>
    </w:p>
    <w:p w:rsidR="005E106E" w:rsidRDefault="005E106E" w:rsidP="005E106E">
      <w:pPr>
        <w:pStyle w:val="referenceitem"/>
        <w:numPr>
          <w:ilvl w:val="0"/>
          <w:numId w:val="0"/>
        </w:numPr>
        <w:spacing w:line="300" w:lineRule="auto"/>
        <w:rPr>
          <w:rFonts w:ascii="Arial" w:hAnsi="Arial" w:cs="Arial"/>
          <w:b/>
          <w:sz w:val="20"/>
          <w:lang w:val="es-ES_tradnl"/>
        </w:rPr>
      </w:pPr>
      <w:r w:rsidRPr="005E106E">
        <w:rPr>
          <w:rFonts w:ascii="Arial" w:hAnsi="Arial" w:cs="Arial"/>
          <w:b/>
          <w:sz w:val="20"/>
          <w:lang w:val="es-ES_tradnl"/>
        </w:rPr>
        <w:t>Antonio Tejedor Cabrera</w:t>
      </w:r>
    </w:p>
    <w:p w:rsidR="0009460B" w:rsidRDefault="0009460B" w:rsidP="005E106E">
      <w:pPr>
        <w:pStyle w:val="referenceitem"/>
        <w:numPr>
          <w:ilvl w:val="0"/>
          <w:numId w:val="0"/>
        </w:numPr>
        <w:spacing w:line="300" w:lineRule="auto"/>
        <w:rPr>
          <w:rFonts w:ascii="Arial" w:hAnsi="Arial" w:cs="Arial"/>
          <w:b/>
          <w:sz w:val="20"/>
          <w:lang w:val="es-ES_tradnl"/>
        </w:rPr>
      </w:pPr>
    </w:p>
    <w:p w:rsidR="0009460B" w:rsidRPr="005E106E" w:rsidRDefault="0009460B" w:rsidP="005E106E">
      <w:pPr>
        <w:pStyle w:val="referenceitem"/>
        <w:numPr>
          <w:ilvl w:val="0"/>
          <w:numId w:val="0"/>
        </w:numPr>
        <w:spacing w:line="300" w:lineRule="auto"/>
        <w:rPr>
          <w:rFonts w:ascii="Arial" w:hAnsi="Arial" w:cs="Arial"/>
          <w:b/>
          <w:sz w:val="20"/>
          <w:lang w:val="es-ES_tradnl"/>
        </w:rPr>
      </w:pPr>
      <w:r>
        <w:rPr>
          <w:rFonts w:ascii="Arial" w:hAnsi="Arial" w:cs="Arial"/>
          <w:b/>
          <w:noProof/>
          <w:sz w:val="20"/>
          <w:lang w:val="es-ES" w:eastAsia="es-ES"/>
        </w:rPr>
        <w:drawing>
          <wp:inline distT="0" distB="0" distL="0" distR="0">
            <wp:extent cx="1783147" cy="23050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onio tejedor[1218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4955" cy="2359094"/>
                    </a:xfrm>
                    <a:prstGeom prst="rect">
                      <a:avLst/>
                    </a:prstGeom>
                  </pic:spPr>
                </pic:pic>
              </a:graphicData>
            </a:graphic>
          </wp:inline>
        </w:drawing>
      </w:r>
    </w:p>
    <w:p w:rsidR="005E106E" w:rsidRPr="005E106E" w:rsidRDefault="005E106E" w:rsidP="005E106E">
      <w:pPr>
        <w:pStyle w:val="referenceitem"/>
        <w:numPr>
          <w:ilvl w:val="0"/>
          <w:numId w:val="0"/>
        </w:numPr>
        <w:spacing w:line="300" w:lineRule="auto"/>
        <w:rPr>
          <w:rFonts w:ascii="Arial" w:hAnsi="Arial" w:cs="Arial"/>
          <w:b/>
          <w:sz w:val="20"/>
          <w:lang w:val="es-ES_tradnl"/>
        </w:rPr>
      </w:pPr>
    </w:p>
    <w:p w:rsidR="005E106E" w:rsidRPr="005E106E" w:rsidRDefault="005E106E" w:rsidP="005E106E">
      <w:pPr>
        <w:pStyle w:val="referenceitem"/>
        <w:numPr>
          <w:ilvl w:val="0"/>
          <w:numId w:val="0"/>
        </w:numPr>
        <w:spacing w:line="300" w:lineRule="auto"/>
        <w:rPr>
          <w:rFonts w:ascii="Arial" w:eastAsiaTheme="minorHAnsi" w:hAnsi="Arial" w:cs="Arial"/>
          <w:sz w:val="20"/>
          <w:lang w:val="es-ES_tradnl"/>
        </w:rPr>
      </w:pPr>
      <w:r w:rsidRPr="005E106E">
        <w:rPr>
          <w:rFonts w:ascii="Arial" w:eastAsiaTheme="minorHAnsi" w:hAnsi="Arial" w:cs="Arial"/>
          <w:sz w:val="20"/>
          <w:lang w:val="es-ES_tradnl"/>
        </w:rPr>
        <w:t>Profesor Titular de Proyectos Arquitectónicos de la Universidad de Sevilla. Director del Instituto Universitario de Arquitectura y Ciencias de la Construcción US (desde 2015). Premio Extr</w:t>
      </w:r>
      <w:r w:rsidRPr="005E106E">
        <w:rPr>
          <w:rFonts w:ascii="Arial" w:eastAsiaTheme="minorHAnsi" w:hAnsi="Arial" w:cs="Arial"/>
          <w:sz w:val="20"/>
          <w:lang w:val="es-ES_tradnl"/>
        </w:rPr>
        <w:t>a</w:t>
      </w:r>
      <w:r w:rsidRPr="005E106E">
        <w:rPr>
          <w:rFonts w:ascii="Arial" w:eastAsiaTheme="minorHAnsi" w:hAnsi="Arial" w:cs="Arial"/>
          <w:sz w:val="20"/>
          <w:lang w:val="es-ES_tradnl"/>
        </w:rPr>
        <w:t>ordinario de Doctorado US 1997-98. Coordinador del Programa de Doctora</w:t>
      </w:r>
      <w:r w:rsidR="0009460B">
        <w:rPr>
          <w:rFonts w:ascii="Arial" w:eastAsiaTheme="minorHAnsi" w:hAnsi="Arial" w:cs="Arial"/>
          <w:sz w:val="20"/>
          <w:lang w:val="es-ES_tradnl"/>
        </w:rPr>
        <w:t>do en Arquitectura (desde 2016)</w:t>
      </w:r>
      <w:r w:rsidRPr="005E106E">
        <w:rPr>
          <w:rFonts w:ascii="Arial" w:eastAsiaTheme="minorHAnsi" w:hAnsi="Arial" w:cs="Arial"/>
          <w:sz w:val="20"/>
          <w:lang w:val="es-ES_tradnl"/>
        </w:rPr>
        <w:t>.</w:t>
      </w:r>
      <w:r w:rsidR="0009460B">
        <w:rPr>
          <w:rFonts w:ascii="Arial" w:eastAsiaTheme="minorHAnsi" w:hAnsi="Arial" w:cs="Arial"/>
          <w:sz w:val="20"/>
          <w:lang w:val="es-ES_tradnl"/>
        </w:rPr>
        <w:t xml:space="preserve"> </w:t>
      </w:r>
      <w:r w:rsidRPr="005E106E">
        <w:rPr>
          <w:rFonts w:ascii="Arial" w:eastAsiaTheme="minorHAnsi" w:hAnsi="Arial" w:cs="Arial"/>
          <w:sz w:val="20"/>
          <w:lang w:val="es-ES_tradnl"/>
        </w:rPr>
        <w:t>Especialista en intervenciones sostenibles en Patrimonio Histórico y Paisajes Culturales, fue asesor del Instituto Andaluz del Patrimonio Histórico (1990-2001) y vocal de la Com</w:t>
      </w:r>
      <w:r w:rsidRPr="005E106E">
        <w:rPr>
          <w:rFonts w:ascii="Arial" w:eastAsiaTheme="minorHAnsi" w:hAnsi="Arial" w:cs="Arial"/>
          <w:sz w:val="20"/>
          <w:lang w:val="es-ES_tradnl"/>
        </w:rPr>
        <w:t>i</w:t>
      </w:r>
      <w:r w:rsidRPr="005E106E">
        <w:rPr>
          <w:rFonts w:ascii="Arial" w:eastAsiaTheme="minorHAnsi" w:hAnsi="Arial" w:cs="Arial"/>
          <w:sz w:val="20"/>
          <w:lang w:val="es-ES_tradnl"/>
        </w:rPr>
        <w:t xml:space="preserve">sión Andaluza de Arqueología (1997-2003). Investigador Principal del proyecto </w:t>
      </w:r>
      <w:proofErr w:type="spellStart"/>
      <w:r w:rsidRPr="005E106E">
        <w:rPr>
          <w:rFonts w:ascii="Arial" w:eastAsiaTheme="minorHAnsi" w:hAnsi="Arial" w:cs="Arial"/>
          <w:sz w:val="20"/>
          <w:lang w:val="es-ES_tradnl"/>
        </w:rPr>
        <w:t>I+D+i</w:t>
      </w:r>
      <w:proofErr w:type="spellEnd"/>
      <w:r w:rsidRPr="005E106E">
        <w:rPr>
          <w:rFonts w:ascii="Arial" w:eastAsiaTheme="minorHAnsi" w:hAnsi="Arial" w:cs="Arial"/>
          <w:sz w:val="20"/>
          <w:lang w:val="es-ES_tradnl"/>
        </w:rPr>
        <w:t xml:space="preserve"> (Ministerio de Economía y Competitividad 2016-19) SMART ARCHITECTURAL AND ARCHEOLOGICAL HERITAGE. Ha recibido los siguientes premios internacionales: Voto de </w:t>
      </w:r>
      <w:proofErr w:type="spellStart"/>
      <w:r w:rsidRPr="005E106E">
        <w:rPr>
          <w:rFonts w:ascii="Arial" w:eastAsiaTheme="minorHAnsi" w:hAnsi="Arial" w:cs="Arial"/>
          <w:sz w:val="20"/>
          <w:lang w:val="es-ES_tradnl"/>
        </w:rPr>
        <w:t>Louvor</w:t>
      </w:r>
      <w:proofErr w:type="spellEnd"/>
      <w:r w:rsidRPr="005E106E">
        <w:rPr>
          <w:rFonts w:ascii="Arial" w:eastAsiaTheme="minorHAnsi" w:hAnsi="Arial" w:cs="Arial"/>
          <w:sz w:val="20"/>
          <w:lang w:val="es-ES_tradnl"/>
        </w:rPr>
        <w:t xml:space="preserve"> de la Universidad de Li</w:t>
      </w:r>
      <w:r w:rsidRPr="005E106E">
        <w:rPr>
          <w:rFonts w:ascii="Arial" w:eastAsiaTheme="minorHAnsi" w:hAnsi="Arial" w:cs="Arial"/>
          <w:sz w:val="20"/>
          <w:lang w:val="es-ES_tradnl"/>
        </w:rPr>
        <w:t>s</w:t>
      </w:r>
      <w:r w:rsidRPr="005E106E">
        <w:rPr>
          <w:rFonts w:ascii="Arial" w:eastAsiaTheme="minorHAnsi" w:hAnsi="Arial" w:cs="Arial"/>
          <w:sz w:val="20"/>
          <w:lang w:val="es-ES_tradnl"/>
        </w:rPr>
        <w:t xml:space="preserve">boa (2012); PRAM Premio </w:t>
      </w:r>
      <w:proofErr w:type="spellStart"/>
      <w:r w:rsidRPr="005E106E">
        <w:rPr>
          <w:rFonts w:ascii="Arial" w:eastAsiaTheme="minorHAnsi" w:hAnsi="Arial" w:cs="Arial"/>
          <w:sz w:val="20"/>
          <w:lang w:val="es-ES_tradnl"/>
        </w:rPr>
        <w:t>Internazionale</w:t>
      </w:r>
      <w:proofErr w:type="spellEnd"/>
      <w:r w:rsidRPr="005E106E">
        <w:rPr>
          <w:rFonts w:ascii="Arial" w:eastAsiaTheme="minorHAnsi" w:hAnsi="Arial" w:cs="Arial"/>
          <w:sz w:val="20"/>
          <w:lang w:val="es-ES_tradnl"/>
        </w:rPr>
        <w:t xml:space="preserve"> </w:t>
      </w:r>
      <w:proofErr w:type="spellStart"/>
      <w:r w:rsidRPr="005E106E">
        <w:rPr>
          <w:rFonts w:ascii="Arial" w:eastAsiaTheme="minorHAnsi" w:hAnsi="Arial" w:cs="Arial"/>
          <w:sz w:val="20"/>
          <w:lang w:val="es-ES_tradnl"/>
        </w:rPr>
        <w:t>sul</w:t>
      </w:r>
      <w:proofErr w:type="spellEnd"/>
      <w:r w:rsidRPr="005E106E">
        <w:rPr>
          <w:rFonts w:ascii="Arial" w:eastAsiaTheme="minorHAnsi" w:hAnsi="Arial" w:cs="Arial"/>
          <w:sz w:val="20"/>
          <w:lang w:val="es-ES_tradnl"/>
        </w:rPr>
        <w:t xml:space="preserve"> Restauro e </w:t>
      </w:r>
      <w:proofErr w:type="spellStart"/>
      <w:r w:rsidRPr="005E106E">
        <w:rPr>
          <w:rFonts w:ascii="Arial" w:eastAsiaTheme="minorHAnsi" w:hAnsi="Arial" w:cs="Arial"/>
          <w:sz w:val="20"/>
          <w:lang w:val="es-ES_tradnl"/>
        </w:rPr>
        <w:lastRenderedPageBreak/>
        <w:t>Architettura</w:t>
      </w:r>
      <w:proofErr w:type="spellEnd"/>
      <w:r w:rsidRPr="005E106E">
        <w:rPr>
          <w:rFonts w:ascii="Arial" w:eastAsiaTheme="minorHAnsi" w:hAnsi="Arial" w:cs="Arial"/>
          <w:sz w:val="20"/>
          <w:lang w:val="es-ES_tradnl"/>
        </w:rPr>
        <w:t xml:space="preserve"> </w:t>
      </w:r>
      <w:proofErr w:type="spellStart"/>
      <w:r w:rsidRPr="005E106E">
        <w:rPr>
          <w:rFonts w:ascii="Arial" w:eastAsiaTheme="minorHAnsi" w:hAnsi="Arial" w:cs="Arial"/>
          <w:sz w:val="20"/>
          <w:lang w:val="es-ES_tradnl"/>
        </w:rPr>
        <w:t>Mediterranea</w:t>
      </w:r>
      <w:proofErr w:type="spellEnd"/>
      <w:r w:rsidRPr="005E106E">
        <w:rPr>
          <w:rFonts w:ascii="Arial" w:eastAsiaTheme="minorHAnsi" w:hAnsi="Arial" w:cs="Arial"/>
          <w:sz w:val="20"/>
          <w:lang w:val="es-ES_tradnl"/>
        </w:rPr>
        <w:t xml:space="preserve"> (2013) y Finalista (segundo clasificado) en II PREMIO MEDITERRÁNEO DEL PAISAJE “Obra real</w:t>
      </w:r>
      <w:r w:rsidRPr="005E106E">
        <w:rPr>
          <w:rFonts w:ascii="Arial" w:eastAsiaTheme="minorHAnsi" w:hAnsi="Arial" w:cs="Arial"/>
          <w:sz w:val="20"/>
          <w:lang w:val="es-ES_tradnl"/>
        </w:rPr>
        <w:t>i</w:t>
      </w:r>
      <w:r w:rsidRPr="005E106E">
        <w:rPr>
          <w:rFonts w:ascii="Arial" w:eastAsiaTheme="minorHAnsi" w:hAnsi="Arial" w:cs="Arial"/>
          <w:sz w:val="20"/>
          <w:lang w:val="es-ES_tradnl"/>
        </w:rPr>
        <w:t>zada” (2007).</w:t>
      </w:r>
    </w:p>
    <w:p w:rsidR="005E106E" w:rsidRPr="005E106E" w:rsidRDefault="005E106E" w:rsidP="005E106E">
      <w:pPr>
        <w:spacing w:line="300" w:lineRule="auto"/>
        <w:jc w:val="both"/>
        <w:rPr>
          <w:rFonts w:ascii="Arial" w:hAnsi="Arial" w:cs="Arial"/>
          <w:sz w:val="20"/>
          <w:szCs w:val="20"/>
          <w:lang w:val="es-ES_tradnl"/>
        </w:rPr>
      </w:pPr>
    </w:p>
    <w:p w:rsidR="005E106E" w:rsidRPr="005E106E" w:rsidRDefault="005E106E" w:rsidP="005E106E">
      <w:pPr>
        <w:pStyle w:val="referenceitem"/>
        <w:numPr>
          <w:ilvl w:val="0"/>
          <w:numId w:val="0"/>
        </w:numPr>
        <w:spacing w:line="300" w:lineRule="auto"/>
        <w:rPr>
          <w:rFonts w:ascii="Arial" w:hAnsi="Arial" w:cs="Arial"/>
          <w:b/>
          <w:bCs/>
          <w:sz w:val="20"/>
          <w:lang w:val="es-ES_tradnl"/>
        </w:rPr>
      </w:pPr>
      <w:r w:rsidRPr="005E106E">
        <w:rPr>
          <w:rFonts w:ascii="Arial" w:hAnsi="Arial" w:cs="Arial"/>
          <w:b/>
          <w:bCs/>
          <w:sz w:val="20"/>
          <w:lang w:val="es-ES_tradnl"/>
        </w:rPr>
        <w:t>Me</w:t>
      </w:r>
      <w:r w:rsidRPr="005E106E">
        <w:rPr>
          <w:rFonts w:ascii="Arial" w:hAnsi="Arial" w:cs="Arial"/>
          <w:b/>
          <w:bCs/>
          <w:sz w:val="20"/>
          <w:lang w:val="es-ES_tradnl"/>
        </w:rPr>
        <w:t>rcedes Linares Gómez del Pulgar</w:t>
      </w:r>
    </w:p>
    <w:p w:rsidR="005E106E" w:rsidRDefault="005E106E" w:rsidP="005E106E">
      <w:pPr>
        <w:pStyle w:val="referenceitem"/>
        <w:numPr>
          <w:ilvl w:val="0"/>
          <w:numId w:val="0"/>
        </w:numPr>
        <w:spacing w:line="300" w:lineRule="auto"/>
        <w:rPr>
          <w:rFonts w:ascii="Arial" w:hAnsi="Arial" w:cs="Arial"/>
          <w:b/>
          <w:bCs/>
          <w:sz w:val="20"/>
          <w:lang w:val="es-ES_tradnl"/>
        </w:rPr>
      </w:pPr>
    </w:p>
    <w:p w:rsidR="0009460B" w:rsidRDefault="0009460B" w:rsidP="005E106E">
      <w:pPr>
        <w:pStyle w:val="referenceitem"/>
        <w:numPr>
          <w:ilvl w:val="0"/>
          <w:numId w:val="0"/>
        </w:numPr>
        <w:spacing w:line="300" w:lineRule="auto"/>
        <w:rPr>
          <w:rFonts w:ascii="Arial" w:hAnsi="Arial" w:cs="Arial"/>
          <w:b/>
          <w:bCs/>
          <w:sz w:val="20"/>
          <w:lang w:val="es-ES_tradnl"/>
        </w:rPr>
      </w:pPr>
      <w:r>
        <w:rPr>
          <w:rFonts w:ascii="Arial" w:hAnsi="Arial" w:cs="Arial"/>
          <w:b/>
          <w:bCs/>
          <w:noProof/>
          <w:sz w:val="20"/>
          <w:lang w:val="es-ES" w:eastAsia="es-ES"/>
        </w:rPr>
        <w:drawing>
          <wp:inline distT="0" distB="0" distL="0" distR="0">
            <wp:extent cx="2108200" cy="158115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0b14e8e-fa1f-4b8b-b69d-a12db5ae89f3.jf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6409" cy="1587307"/>
                    </a:xfrm>
                    <a:prstGeom prst="rect">
                      <a:avLst/>
                    </a:prstGeom>
                  </pic:spPr>
                </pic:pic>
              </a:graphicData>
            </a:graphic>
          </wp:inline>
        </w:drawing>
      </w:r>
    </w:p>
    <w:p w:rsidR="0009460B" w:rsidRPr="005E106E" w:rsidRDefault="0009460B" w:rsidP="005E106E">
      <w:pPr>
        <w:pStyle w:val="referenceitem"/>
        <w:numPr>
          <w:ilvl w:val="0"/>
          <w:numId w:val="0"/>
        </w:numPr>
        <w:spacing w:line="300" w:lineRule="auto"/>
        <w:rPr>
          <w:rFonts w:ascii="Arial" w:hAnsi="Arial" w:cs="Arial"/>
          <w:b/>
          <w:bCs/>
          <w:sz w:val="20"/>
          <w:lang w:val="es-ES_tradnl"/>
        </w:rPr>
      </w:pPr>
      <w:bookmarkStart w:id="0" w:name="_GoBack"/>
      <w:bookmarkEnd w:id="0"/>
    </w:p>
    <w:p w:rsidR="005E106E" w:rsidRPr="005E106E" w:rsidRDefault="005E106E" w:rsidP="005E106E">
      <w:pPr>
        <w:pStyle w:val="referenceitem"/>
        <w:numPr>
          <w:ilvl w:val="0"/>
          <w:numId w:val="0"/>
        </w:numPr>
        <w:spacing w:line="300" w:lineRule="auto"/>
        <w:rPr>
          <w:rFonts w:ascii="Arial" w:eastAsiaTheme="minorHAnsi" w:hAnsi="Arial" w:cs="Arial"/>
          <w:sz w:val="20"/>
          <w:lang w:val="es-ES_tradnl"/>
        </w:rPr>
      </w:pPr>
      <w:r w:rsidRPr="005E106E">
        <w:rPr>
          <w:rFonts w:ascii="Arial" w:eastAsiaTheme="minorHAnsi" w:hAnsi="Arial" w:cs="Arial"/>
          <w:sz w:val="20"/>
          <w:lang w:val="es-ES_tradnl"/>
        </w:rPr>
        <w:t>Profesora Contratada Doctora de Expresión Gráfica Arquitectónica de la Universidad de Sev</w:t>
      </w:r>
      <w:r w:rsidRPr="005E106E">
        <w:rPr>
          <w:rFonts w:ascii="Arial" w:eastAsiaTheme="minorHAnsi" w:hAnsi="Arial" w:cs="Arial"/>
          <w:sz w:val="20"/>
          <w:lang w:val="es-ES_tradnl"/>
        </w:rPr>
        <w:t>i</w:t>
      </w:r>
      <w:r w:rsidRPr="005E106E">
        <w:rPr>
          <w:rFonts w:ascii="Arial" w:eastAsiaTheme="minorHAnsi" w:hAnsi="Arial" w:cs="Arial"/>
          <w:sz w:val="20"/>
          <w:lang w:val="es-ES_tradnl"/>
        </w:rPr>
        <w:t>lla. Directora del Departamento EGA (desde 2018). Especialista en Patrimonio Histórico, es investigadora de la Arquitectura, la Ciudad y el Paisaje del siglo XIX. Premio de Investigación Archivo Hispalense (2014) y Premio Extr</w:t>
      </w:r>
      <w:r w:rsidRPr="005E106E">
        <w:rPr>
          <w:rFonts w:ascii="Arial" w:eastAsiaTheme="minorHAnsi" w:hAnsi="Arial" w:cs="Arial"/>
          <w:sz w:val="20"/>
          <w:lang w:val="es-ES_tradnl"/>
        </w:rPr>
        <w:t>a</w:t>
      </w:r>
      <w:r w:rsidRPr="005E106E">
        <w:rPr>
          <w:rFonts w:ascii="Arial" w:eastAsiaTheme="minorHAnsi" w:hAnsi="Arial" w:cs="Arial"/>
          <w:sz w:val="20"/>
          <w:lang w:val="es-ES_tradnl"/>
        </w:rPr>
        <w:t>ordinario de Doctorado Universidad de Sevilla (2013-14). Es miembro del equipo investig</w:t>
      </w:r>
      <w:r w:rsidRPr="005E106E">
        <w:rPr>
          <w:rFonts w:ascii="Arial" w:eastAsiaTheme="minorHAnsi" w:hAnsi="Arial" w:cs="Arial"/>
          <w:sz w:val="20"/>
          <w:lang w:val="es-ES_tradnl"/>
        </w:rPr>
        <w:t>a</w:t>
      </w:r>
      <w:r w:rsidRPr="005E106E">
        <w:rPr>
          <w:rFonts w:ascii="Arial" w:eastAsiaTheme="minorHAnsi" w:hAnsi="Arial" w:cs="Arial"/>
          <w:sz w:val="20"/>
          <w:lang w:val="es-ES_tradnl"/>
        </w:rPr>
        <w:t xml:space="preserve">dor del proyecto </w:t>
      </w:r>
      <w:proofErr w:type="spellStart"/>
      <w:r w:rsidRPr="005E106E">
        <w:rPr>
          <w:rFonts w:ascii="Arial" w:eastAsiaTheme="minorHAnsi" w:hAnsi="Arial" w:cs="Arial"/>
          <w:sz w:val="20"/>
          <w:lang w:val="es-ES_tradnl"/>
        </w:rPr>
        <w:t>I+D+i</w:t>
      </w:r>
      <w:proofErr w:type="spellEnd"/>
      <w:r w:rsidRPr="005E106E">
        <w:rPr>
          <w:rFonts w:ascii="Arial" w:eastAsiaTheme="minorHAnsi" w:hAnsi="Arial" w:cs="Arial"/>
          <w:sz w:val="20"/>
          <w:lang w:val="es-ES_tradnl"/>
        </w:rPr>
        <w:t xml:space="preserve"> SMART ARCHITECTURAL AND ARCHEOLOGICAL HERITAGE</w:t>
      </w:r>
      <w:r w:rsidR="0009460B">
        <w:rPr>
          <w:rFonts w:ascii="Arial" w:eastAsiaTheme="minorHAnsi" w:hAnsi="Arial" w:cs="Arial"/>
          <w:sz w:val="20"/>
          <w:lang w:val="es-ES_tradnl"/>
        </w:rPr>
        <w:t xml:space="preserve">. </w:t>
      </w:r>
      <w:r w:rsidRPr="005E106E">
        <w:rPr>
          <w:rFonts w:ascii="Arial" w:eastAsiaTheme="minorHAnsi" w:hAnsi="Arial" w:cs="Arial"/>
          <w:sz w:val="20"/>
          <w:lang w:val="es-ES_tradnl"/>
        </w:rPr>
        <w:t>Ha obtenido numerosos premios nacionales e internacionales por su obra construida con TEJEDOR_LINARES &amp; asociados</w:t>
      </w:r>
      <w:r w:rsidRPr="005E106E">
        <w:rPr>
          <w:rFonts w:ascii="Arial" w:eastAsiaTheme="minorHAnsi" w:hAnsi="Arial" w:cs="Arial"/>
          <w:sz w:val="20"/>
          <w:lang w:val="es-ES_tradnl"/>
        </w:rPr>
        <w:t xml:space="preserve"> (www.tejedorlinares.</w:t>
      </w:r>
      <w:r w:rsidRPr="005E106E">
        <w:rPr>
          <w:rFonts w:ascii="Arial" w:eastAsiaTheme="minorHAnsi" w:hAnsi="Arial" w:cs="Arial"/>
          <w:sz w:val="20"/>
          <w:lang w:val="es-ES_tradnl"/>
        </w:rPr>
        <w:t>c</w:t>
      </w:r>
      <w:r w:rsidRPr="005E106E">
        <w:rPr>
          <w:rFonts w:ascii="Arial" w:eastAsiaTheme="minorHAnsi" w:hAnsi="Arial" w:cs="Arial"/>
          <w:sz w:val="20"/>
          <w:lang w:val="es-ES_tradnl"/>
        </w:rPr>
        <w:t>om</w:t>
      </w:r>
      <w:r w:rsidR="0009460B">
        <w:rPr>
          <w:rFonts w:ascii="Arial" w:eastAsiaTheme="minorHAnsi" w:hAnsi="Arial" w:cs="Arial"/>
          <w:sz w:val="20"/>
          <w:lang w:val="es-ES_tradnl"/>
        </w:rPr>
        <w:t>).</w:t>
      </w:r>
    </w:p>
    <w:p w:rsidR="005E106E" w:rsidRPr="006E41F2" w:rsidRDefault="005E106E" w:rsidP="005E106E">
      <w:pPr>
        <w:pStyle w:val="referenceitem"/>
        <w:numPr>
          <w:ilvl w:val="0"/>
          <w:numId w:val="0"/>
        </w:numPr>
        <w:rPr>
          <w:lang w:val="es-ES_tradnl"/>
        </w:rPr>
      </w:pPr>
    </w:p>
    <w:p w:rsidR="005E106E" w:rsidRPr="005E106E" w:rsidRDefault="005E106E" w:rsidP="005E106E">
      <w:pPr>
        <w:spacing w:line="300" w:lineRule="auto"/>
        <w:jc w:val="both"/>
        <w:rPr>
          <w:rFonts w:ascii="Arial" w:hAnsi="Arial" w:cs="Arial"/>
          <w:sz w:val="20"/>
          <w:szCs w:val="20"/>
          <w:lang w:val="es-ES_tradnl"/>
        </w:rPr>
      </w:pPr>
    </w:p>
    <w:p w:rsidR="005E106E" w:rsidRDefault="005E106E"/>
    <w:sectPr w:rsidR="005E10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9521C8"/>
    <w:multiLevelType w:val="multilevel"/>
    <w:tmpl w:val="28E64938"/>
    <w:styleLink w:val="referencelist"/>
    <w:lvl w:ilvl="0">
      <w:start w:val="1"/>
      <w:numFmt w:val="decimal"/>
      <w:pStyle w:val="referenceitem"/>
      <w:lvlText w:val="%1."/>
      <w:lvlJc w:val="right"/>
      <w:pPr>
        <w:tabs>
          <w:tab w:val="num" w:pos="113"/>
        </w:tabs>
        <w:ind w:left="113" w:hanging="113"/>
      </w:pPr>
      <w:rPr>
        <w:rFonts w:hint="default"/>
      </w:rPr>
    </w:lvl>
    <w:lvl w:ilvl="1">
      <w:start w:val="1"/>
      <w:numFmt w:val="lowerLetter"/>
      <w:lvlText w:val="%2."/>
      <w:lvlJc w:val="left"/>
      <w:pPr>
        <w:tabs>
          <w:tab w:val="num" w:pos="2238"/>
        </w:tabs>
        <w:ind w:left="2238" w:hanging="360"/>
      </w:pPr>
      <w:rPr>
        <w:rFonts w:hint="default"/>
      </w:rPr>
    </w:lvl>
    <w:lvl w:ilvl="2">
      <w:start w:val="1"/>
      <w:numFmt w:val="lowerRoman"/>
      <w:lvlText w:val="%3."/>
      <w:lvlJc w:val="right"/>
      <w:pPr>
        <w:tabs>
          <w:tab w:val="num" w:pos="2958"/>
        </w:tabs>
        <w:ind w:left="2958" w:hanging="180"/>
      </w:pPr>
      <w:rPr>
        <w:rFonts w:hint="default"/>
      </w:rPr>
    </w:lvl>
    <w:lvl w:ilvl="3">
      <w:start w:val="1"/>
      <w:numFmt w:val="decimal"/>
      <w:lvlText w:val="%4."/>
      <w:lvlJc w:val="left"/>
      <w:pPr>
        <w:tabs>
          <w:tab w:val="num" w:pos="3678"/>
        </w:tabs>
        <w:ind w:left="3678" w:hanging="360"/>
      </w:pPr>
      <w:rPr>
        <w:rFonts w:hint="default"/>
      </w:rPr>
    </w:lvl>
    <w:lvl w:ilvl="4">
      <w:start w:val="1"/>
      <w:numFmt w:val="lowerLetter"/>
      <w:lvlText w:val="%5."/>
      <w:lvlJc w:val="left"/>
      <w:pPr>
        <w:tabs>
          <w:tab w:val="num" w:pos="4398"/>
        </w:tabs>
        <w:ind w:left="4398" w:hanging="360"/>
      </w:pPr>
      <w:rPr>
        <w:rFonts w:hint="default"/>
      </w:rPr>
    </w:lvl>
    <w:lvl w:ilvl="5">
      <w:start w:val="1"/>
      <w:numFmt w:val="lowerRoman"/>
      <w:lvlText w:val="%6."/>
      <w:lvlJc w:val="right"/>
      <w:pPr>
        <w:tabs>
          <w:tab w:val="num" w:pos="5118"/>
        </w:tabs>
        <w:ind w:left="5118" w:hanging="180"/>
      </w:pPr>
      <w:rPr>
        <w:rFonts w:hint="default"/>
      </w:rPr>
    </w:lvl>
    <w:lvl w:ilvl="6">
      <w:start w:val="1"/>
      <w:numFmt w:val="decimal"/>
      <w:lvlText w:val="%7."/>
      <w:lvlJc w:val="left"/>
      <w:pPr>
        <w:tabs>
          <w:tab w:val="num" w:pos="5838"/>
        </w:tabs>
        <w:ind w:left="5838" w:hanging="360"/>
      </w:pPr>
      <w:rPr>
        <w:rFonts w:hint="default"/>
      </w:rPr>
    </w:lvl>
    <w:lvl w:ilvl="7">
      <w:start w:val="1"/>
      <w:numFmt w:val="lowerLetter"/>
      <w:lvlText w:val="%8."/>
      <w:lvlJc w:val="left"/>
      <w:pPr>
        <w:tabs>
          <w:tab w:val="num" w:pos="6558"/>
        </w:tabs>
        <w:ind w:left="6558" w:hanging="360"/>
      </w:pPr>
      <w:rPr>
        <w:rFonts w:hint="default"/>
      </w:rPr>
    </w:lvl>
    <w:lvl w:ilvl="8">
      <w:start w:val="1"/>
      <w:numFmt w:val="lowerRoman"/>
      <w:lvlText w:val="%9."/>
      <w:lvlJc w:val="right"/>
      <w:pPr>
        <w:tabs>
          <w:tab w:val="num" w:pos="7278"/>
        </w:tabs>
        <w:ind w:left="7278" w:hanging="18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06E"/>
    <w:rsid w:val="0009460B"/>
    <w:rsid w:val="005E106E"/>
    <w:rsid w:val="006D57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1C9C"/>
  <w15:chartTrackingRefBased/>
  <w15:docId w15:val="{4C4C7A11-F037-4D4B-BA4C-76EDA449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ferenceitem">
    <w:name w:val="referenceitem"/>
    <w:basedOn w:val="Normal"/>
    <w:rsid w:val="005E106E"/>
    <w:pPr>
      <w:numPr>
        <w:numId w:val="1"/>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lang w:val="en-US"/>
    </w:rPr>
  </w:style>
  <w:style w:type="numbering" w:customStyle="1" w:styleId="referencelist">
    <w:name w:val="referencelist"/>
    <w:basedOn w:val="Sinlista"/>
    <w:semiHidden/>
    <w:rsid w:val="005E106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351</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López Sánchez</dc:creator>
  <cp:keywords/>
  <dc:description/>
  <cp:lastModifiedBy>Marina López Sánchez</cp:lastModifiedBy>
  <cp:revision>1</cp:revision>
  <dcterms:created xsi:type="dcterms:W3CDTF">2020-01-10T18:33:00Z</dcterms:created>
  <dcterms:modified xsi:type="dcterms:W3CDTF">2020-01-10T18:50:00Z</dcterms:modified>
</cp:coreProperties>
</file>