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D773A" w14:textId="609DD0ED" w:rsidR="00D6264E" w:rsidRPr="00A22C1E" w:rsidRDefault="00D6264E" w:rsidP="00D6264E">
      <w:pPr>
        <w:pStyle w:val="Default"/>
        <w:pageBreakBefore/>
        <w:spacing w:before="120" w:after="120"/>
        <w:jc w:val="center"/>
        <w:rPr>
          <w:rFonts w:ascii="Times New Roman" w:hAnsi="Times New Roman" w:cs="Times New Roman"/>
          <w:sz w:val="34"/>
          <w:szCs w:val="34"/>
        </w:rPr>
      </w:pPr>
      <w:r>
        <w:rPr>
          <w:rFonts w:ascii="Times New Roman" w:hAnsi="Times New Roman" w:cs="Times New Roman"/>
          <w:b/>
          <w:bCs/>
          <w:sz w:val="34"/>
          <w:szCs w:val="34"/>
        </w:rPr>
        <w:t xml:space="preserve">Diseño </w:t>
      </w:r>
      <w:r w:rsidRPr="004E4F3D">
        <w:rPr>
          <w:rFonts w:ascii="Times New Roman" w:hAnsi="Times New Roman" w:cs="Times New Roman"/>
          <w:b/>
          <w:bCs/>
          <w:sz w:val="34"/>
          <w:szCs w:val="34"/>
        </w:rPr>
        <w:t>y validación</w:t>
      </w:r>
      <w:r>
        <w:rPr>
          <w:rFonts w:ascii="Times New Roman" w:hAnsi="Times New Roman" w:cs="Times New Roman"/>
          <w:b/>
          <w:bCs/>
          <w:sz w:val="34"/>
          <w:szCs w:val="34"/>
        </w:rPr>
        <w:t xml:space="preserve"> de un cuestionario de evaluación de la </w:t>
      </w:r>
      <w:r w:rsidRPr="00A22C1E">
        <w:rPr>
          <w:rFonts w:ascii="Times New Roman" w:hAnsi="Times New Roman" w:cs="Times New Roman"/>
          <w:b/>
          <w:bCs/>
          <w:sz w:val="34"/>
          <w:szCs w:val="34"/>
        </w:rPr>
        <w:t xml:space="preserve">supervisión clínica </w:t>
      </w:r>
    </w:p>
    <w:p w14:paraId="0563B14F" w14:textId="2164EB9E" w:rsidR="00D6264E" w:rsidRPr="00DD794A" w:rsidRDefault="00D6264E" w:rsidP="00D6264E">
      <w:pPr>
        <w:pStyle w:val="Default"/>
        <w:spacing w:before="120" w:after="120"/>
        <w:jc w:val="center"/>
        <w:rPr>
          <w:rFonts w:ascii="Times New Roman" w:hAnsi="Times New Roman" w:cs="Times New Roman"/>
          <w:b/>
          <w:bCs/>
          <w:sz w:val="28"/>
          <w:szCs w:val="28"/>
          <w:lang w:val="en-US"/>
        </w:rPr>
      </w:pPr>
      <w:r w:rsidRPr="002E4DF9">
        <w:rPr>
          <w:rFonts w:ascii="Times New Roman" w:hAnsi="Times New Roman" w:cs="Times New Roman"/>
          <w:b/>
          <w:bCs/>
          <w:sz w:val="28"/>
          <w:szCs w:val="28"/>
          <w:lang w:val="en-US"/>
        </w:rPr>
        <w:t xml:space="preserve">Design </w:t>
      </w:r>
      <w:r>
        <w:rPr>
          <w:rFonts w:ascii="Times New Roman" w:hAnsi="Times New Roman" w:cs="Times New Roman"/>
          <w:b/>
          <w:bCs/>
          <w:sz w:val="28"/>
          <w:szCs w:val="28"/>
          <w:lang w:val="en-US"/>
        </w:rPr>
        <w:t xml:space="preserve">and validation </w:t>
      </w:r>
      <w:r w:rsidRPr="002E4DF9">
        <w:rPr>
          <w:rFonts w:ascii="Times New Roman" w:hAnsi="Times New Roman" w:cs="Times New Roman"/>
          <w:b/>
          <w:bCs/>
          <w:sz w:val="28"/>
          <w:szCs w:val="28"/>
          <w:lang w:val="en-US"/>
        </w:rPr>
        <w:t xml:space="preserve">of </w:t>
      </w:r>
      <w:r>
        <w:rPr>
          <w:rFonts w:ascii="Times New Roman" w:hAnsi="Times New Roman" w:cs="Times New Roman"/>
          <w:b/>
          <w:bCs/>
          <w:sz w:val="28"/>
          <w:szCs w:val="28"/>
          <w:lang w:val="en-US"/>
        </w:rPr>
        <w:t xml:space="preserve">an </w:t>
      </w:r>
      <w:r w:rsidRPr="00DD794A">
        <w:rPr>
          <w:rFonts w:ascii="Times New Roman" w:hAnsi="Times New Roman" w:cs="Times New Roman"/>
          <w:b/>
          <w:bCs/>
          <w:sz w:val="28"/>
          <w:szCs w:val="28"/>
          <w:lang w:val="en-US"/>
        </w:rPr>
        <w:t>evaluation</w:t>
      </w:r>
      <w:r>
        <w:rPr>
          <w:rFonts w:ascii="Times New Roman" w:hAnsi="Times New Roman" w:cs="Times New Roman"/>
          <w:b/>
          <w:bCs/>
          <w:sz w:val="28"/>
          <w:szCs w:val="28"/>
          <w:lang w:val="en-US"/>
        </w:rPr>
        <w:t xml:space="preserve"> questionnaire</w:t>
      </w:r>
      <w:r w:rsidRPr="00DD794A">
        <w:rPr>
          <w:rFonts w:ascii="Times New Roman" w:hAnsi="Times New Roman" w:cs="Times New Roman"/>
          <w:b/>
          <w:bCs/>
          <w:sz w:val="28"/>
          <w:szCs w:val="28"/>
          <w:lang w:val="en-US"/>
        </w:rPr>
        <w:t xml:space="preserve"> of </w:t>
      </w:r>
      <w:r>
        <w:rPr>
          <w:rFonts w:ascii="Times New Roman" w:hAnsi="Times New Roman" w:cs="Times New Roman"/>
          <w:b/>
          <w:bCs/>
          <w:sz w:val="28"/>
          <w:szCs w:val="28"/>
          <w:lang w:val="en-US"/>
        </w:rPr>
        <w:t>clinical supervisio</w:t>
      </w:r>
      <w:r w:rsidRPr="00DD794A">
        <w:rPr>
          <w:rFonts w:ascii="Times New Roman" w:hAnsi="Times New Roman" w:cs="Times New Roman"/>
          <w:b/>
          <w:bCs/>
          <w:sz w:val="28"/>
          <w:szCs w:val="28"/>
          <w:lang w:val="en-US"/>
        </w:rPr>
        <w:t xml:space="preserve">n </w:t>
      </w:r>
    </w:p>
    <w:p w14:paraId="7E70F1F5" w14:textId="77777777" w:rsidR="005004D0" w:rsidRPr="00A22C1E" w:rsidRDefault="005004D0" w:rsidP="00DD794A">
      <w:pPr>
        <w:pStyle w:val="Default"/>
        <w:spacing w:before="120" w:after="120"/>
        <w:ind w:firstLine="708"/>
        <w:jc w:val="both"/>
        <w:rPr>
          <w:rFonts w:ascii="Times New Roman" w:hAnsi="Times New Roman" w:cs="Times New Roman"/>
          <w:sz w:val="20"/>
          <w:szCs w:val="20"/>
        </w:rPr>
      </w:pPr>
      <w:r w:rsidRPr="00A22C1E">
        <w:rPr>
          <w:rFonts w:ascii="Times New Roman" w:hAnsi="Times New Roman" w:cs="Times New Roman"/>
          <w:b/>
          <w:bCs/>
          <w:sz w:val="20"/>
          <w:szCs w:val="20"/>
        </w:rPr>
        <w:t>Resum</w:t>
      </w:r>
      <w:r w:rsidR="00EA37A0">
        <w:rPr>
          <w:rFonts w:ascii="Times New Roman" w:hAnsi="Times New Roman" w:cs="Times New Roman"/>
          <w:b/>
          <w:bCs/>
          <w:sz w:val="20"/>
          <w:szCs w:val="20"/>
        </w:rPr>
        <w:t xml:space="preserve">en </w:t>
      </w:r>
    </w:p>
    <w:p w14:paraId="7E70F1F6" w14:textId="77777777" w:rsidR="00FE05A6" w:rsidRPr="00AB0274" w:rsidRDefault="00B818AD" w:rsidP="00DD794A">
      <w:pPr>
        <w:spacing w:before="120" w:after="120" w:line="240" w:lineRule="auto"/>
        <w:ind w:firstLine="708"/>
        <w:jc w:val="both"/>
        <w:rPr>
          <w:rFonts w:ascii="Times New Roman" w:hAnsi="Times New Roman" w:cs="Times New Roman"/>
          <w:sz w:val="24"/>
          <w:szCs w:val="24"/>
        </w:rPr>
      </w:pPr>
      <w:r w:rsidRPr="00B818AD">
        <w:rPr>
          <w:rFonts w:ascii="Times New Roman" w:hAnsi="Times New Roman"/>
          <w:sz w:val="20"/>
          <w:szCs w:val="20"/>
        </w:rPr>
        <w:t>La supervisión clínica en medicina es una modalidad de enseñanza en el servicio que persigue como fin la práctica independiente de la profesión médica (Schumacher et al., 2013). En la supervisión clínica el profesor asume una función de modelador de los desempeños de los estudiantes en un contexto de práctica profesional real</w:t>
      </w:r>
      <w:r>
        <w:rPr>
          <w:rFonts w:ascii="Times New Roman" w:hAnsi="Times New Roman"/>
          <w:sz w:val="20"/>
          <w:szCs w:val="20"/>
        </w:rPr>
        <w:t xml:space="preserve">. </w:t>
      </w:r>
      <w:r w:rsidR="00FE1C4C" w:rsidRPr="00B818AD">
        <w:rPr>
          <w:rFonts w:ascii="Times New Roman" w:hAnsi="Times New Roman"/>
          <w:sz w:val="20"/>
          <w:szCs w:val="20"/>
        </w:rPr>
        <w:t>El</w:t>
      </w:r>
      <w:r w:rsidR="00FE1C4C" w:rsidRPr="00FE1C4C">
        <w:rPr>
          <w:rFonts w:ascii="Times New Roman" w:hAnsi="Times New Roman"/>
          <w:sz w:val="20"/>
          <w:szCs w:val="20"/>
        </w:rPr>
        <w:t xml:space="preserve"> objetivo de este artículo es reportar el proceso de investigación que permitió desarrollar un cuestionario de evaluación formativa de la supervisión clínica con base en la </w:t>
      </w:r>
      <w:r w:rsidR="00FE05A6" w:rsidRPr="00FE1C4C">
        <w:rPr>
          <w:rFonts w:ascii="Times New Roman" w:hAnsi="Times New Roman"/>
          <w:sz w:val="20"/>
          <w:szCs w:val="20"/>
        </w:rPr>
        <w:t>opinión de</w:t>
      </w:r>
      <w:r w:rsidR="00FE1C4C" w:rsidRPr="00FE1C4C">
        <w:rPr>
          <w:rFonts w:ascii="Times New Roman" w:hAnsi="Times New Roman"/>
          <w:sz w:val="20"/>
          <w:szCs w:val="20"/>
        </w:rPr>
        <w:t xml:space="preserve"> los estudiantes.</w:t>
      </w:r>
      <w:r w:rsidR="00FE1C4C">
        <w:rPr>
          <w:rFonts w:ascii="Times New Roman" w:hAnsi="Times New Roman"/>
          <w:sz w:val="20"/>
          <w:szCs w:val="20"/>
        </w:rPr>
        <w:t xml:space="preserve"> El método consistió en tres estudios empíricos: (i) un proceso de exploración del contexto de la supervisión clínica</w:t>
      </w:r>
      <w:r w:rsidR="00FE05A6">
        <w:rPr>
          <w:rFonts w:ascii="Times New Roman" w:hAnsi="Times New Roman"/>
          <w:sz w:val="20"/>
          <w:szCs w:val="20"/>
        </w:rPr>
        <w:t xml:space="preserve"> que se logró mediante el análisis documental y entrevistas semiestructuradas; (ii) el diseño del cuestionario de evaluación formativa de la supervisión clínica en medicina, lo cual requirió la identificación en la literatura de los dominios de los supervisores clínicos, definir una matriz de </w:t>
      </w:r>
      <w:r w:rsidR="002E4DF9">
        <w:rPr>
          <w:rFonts w:ascii="Times New Roman" w:hAnsi="Times New Roman"/>
          <w:sz w:val="20"/>
          <w:szCs w:val="20"/>
        </w:rPr>
        <w:t>especificación</w:t>
      </w:r>
      <w:r w:rsidR="00FE05A6">
        <w:rPr>
          <w:rFonts w:ascii="Times New Roman" w:hAnsi="Times New Roman"/>
          <w:sz w:val="20"/>
          <w:szCs w:val="20"/>
        </w:rPr>
        <w:t xml:space="preserve"> del instrumento, someter la matriz de </w:t>
      </w:r>
      <w:r w:rsidR="002E4DF9">
        <w:rPr>
          <w:rFonts w:ascii="Times New Roman" w:hAnsi="Times New Roman"/>
          <w:sz w:val="20"/>
          <w:szCs w:val="20"/>
        </w:rPr>
        <w:t>especificación</w:t>
      </w:r>
      <w:r w:rsidR="00FE05A6">
        <w:rPr>
          <w:rFonts w:ascii="Times New Roman" w:hAnsi="Times New Roman"/>
          <w:sz w:val="20"/>
          <w:szCs w:val="20"/>
        </w:rPr>
        <w:t xml:space="preserve"> a validación de contenido por expertos, un estudio piloto y un proceso de validación de contenido</w:t>
      </w:r>
      <w:r w:rsidR="00885810">
        <w:rPr>
          <w:rFonts w:ascii="Times New Roman" w:hAnsi="Times New Roman"/>
          <w:sz w:val="20"/>
          <w:szCs w:val="20"/>
        </w:rPr>
        <w:t xml:space="preserve"> de los </w:t>
      </w:r>
      <w:r w:rsidR="002E4DF9">
        <w:rPr>
          <w:rFonts w:ascii="Times New Roman" w:hAnsi="Times New Roman"/>
          <w:sz w:val="20"/>
          <w:szCs w:val="20"/>
        </w:rPr>
        <w:t>ítems</w:t>
      </w:r>
      <w:r w:rsidR="00885810">
        <w:rPr>
          <w:rFonts w:ascii="Times New Roman" w:hAnsi="Times New Roman"/>
          <w:sz w:val="20"/>
          <w:szCs w:val="20"/>
        </w:rPr>
        <w:t xml:space="preserve">; y (iii) </w:t>
      </w:r>
      <w:r w:rsidR="00885810" w:rsidRPr="00885810">
        <w:rPr>
          <w:rFonts w:ascii="Times New Roman" w:hAnsi="Times New Roman" w:cs="Times New Roman"/>
          <w:sz w:val="20"/>
          <w:szCs w:val="20"/>
        </w:rPr>
        <w:t>un tercer estudio de generación de evidencias de validez y fiabilidad de las interpretaciones producto de las mediciones</w:t>
      </w:r>
      <w:r w:rsidR="00885810">
        <w:rPr>
          <w:rFonts w:ascii="Times New Roman" w:hAnsi="Times New Roman" w:cs="Times New Roman"/>
          <w:sz w:val="24"/>
          <w:szCs w:val="24"/>
        </w:rPr>
        <w:t>.</w:t>
      </w:r>
      <w:r w:rsidR="00FE05A6">
        <w:rPr>
          <w:rFonts w:ascii="Times New Roman" w:hAnsi="Times New Roman"/>
          <w:sz w:val="20"/>
          <w:szCs w:val="20"/>
        </w:rPr>
        <w:t xml:space="preserve"> Los resultados de esta investigación giran en torno a la construcción de un cuestionario de evaluación formativa de la supervisión clínica que permite interpretaciones válidas y fiables. </w:t>
      </w:r>
      <w:r w:rsidR="00FE05A6" w:rsidRPr="00FE05A6">
        <w:rPr>
          <w:rFonts w:ascii="Times New Roman" w:hAnsi="Times New Roman" w:cs="Times New Roman"/>
          <w:sz w:val="20"/>
          <w:szCs w:val="20"/>
        </w:rPr>
        <w:t>Las evidencias generadas en la investigación representan una aportación al objeto de estudio ya que confirman que la evaluación de las competencias docentes, independientemente del contexto, requiere considerar la previsión/planificación didáctica, la conducción del proceso de enseñanza propiamente dicho y la evaluación de los aprendizajes de los estudiantes.</w:t>
      </w:r>
    </w:p>
    <w:p w14:paraId="7E70F1F7" w14:textId="4B4941F6" w:rsidR="005004D0" w:rsidRPr="00A22C1E" w:rsidRDefault="005004D0" w:rsidP="00DD794A">
      <w:pPr>
        <w:pStyle w:val="Default"/>
        <w:spacing w:before="120" w:after="120"/>
        <w:ind w:firstLine="708"/>
        <w:jc w:val="both"/>
        <w:rPr>
          <w:rFonts w:ascii="Times New Roman" w:hAnsi="Times New Roman" w:cs="Times New Roman"/>
          <w:sz w:val="20"/>
          <w:szCs w:val="20"/>
        </w:rPr>
      </w:pPr>
      <w:r w:rsidRPr="00A22C1E">
        <w:rPr>
          <w:rFonts w:ascii="Times New Roman" w:hAnsi="Times New Roman" w:cs="Times New Roman"/>
          <w:i/>
          <w:iCs/>
          <w:sz w:val="20"/>
          <w:szCs w:val="20"/>
        </w:rPr>
        <w:t>Pa</w:t>
      </w:r>
      <w:r w:rsidR="00EA37A0">
        <w:rPr>
          <w:rFonts w:ascii="Times New Roman" w:hAnsi="Times New Roman" w:cs="Times New Roman"/>
          <w:i/>
          <w:iCs/>
          <w:sz w:val="20"/>
          <w:szCs w:val="20"/>
        </w:rPr>
        <w:t>labras clave</w:t>
      </w:r>
      <w:r w:rsidRPr="00A22C1E">
        <w:rPr>
          <w:rFonts w:ascii="Times New Roman" w:hAnsi="Times New Roman" w:cs="Times New Roman"/>
          <w:i/>
          <w:iCs/>
          <w:sz w:val="20"/>
          <w:szCs w:val="20"/>
        </w:rPr>
        <w:t>:</w:t>
      </w:r>
      <w:r w:rsidR="00C0080A">
        <w:rPr>
          <w:rFonts w:ascii="Times New Roman" w:hAnsi="Times New Roman" w:cs="Times New Roman"/>
          <w:iCs/>
          <w:sz w:val="20"/>
          <w:szCs w:val="20"/>
        </w:rPr>
        <w:t xml:space="preserve"> </w:t>
      </w:r>
      <w:r w:rsidR="00D6264E">
        <w:rPr>
          <w:rFonts w:ascii="Times New Roman" w:hAnsi="Times New Roman" w:cs="Times New Roman"/>
          <w:iCs/>
          <w:sz w:val="20"/>
          <w:szCs w:val="20"/>
        </w:rPr>
        <w:t xml:space="preserve">medicina, </w:t>
      </w:r>
      <w:r w:rsidR="00D6264E" w:rsidRPr="004E4F3D">
        <w:rPr>
          <w:rFonts w:ascii="Times New Roman" w:hAnsi="Times New Roman" w:cs="Times New Roman"/>
          <w:iCs/>
          <w:sz w:val="20"/>
          <w:szCs w:val="20"/>
        </w:rPr>
        <w:t>evaluación formativa, evaluación de la docencia con base en la opinión de los estudiantes,  validez de cuestionario</w:t>
      </w:r>
      <w:r w:rsidR="00C0080A">
        <w:rPr>
          <w:rFonts w:ascii="Times New Roman" w:hAnsi="Times New Roman" w:cs="Times New Roman"/>
          <w:iCs/>
          <w:sz w:val="20"/>
          <w:szCs w:val="20"/>
        </w:rPr>
        <w:t>.</w:t>
      </w:r>
    </w:p>
    <w:p w14:paraId="7E70F1F8" w14:textId="77777777" w:rsidR="00B818AD" w:rsidRPr="00DD794A" w:rsidRDefault="005004D0" w:rsidP="00DD794A">
      <w:pPr>
        <w:pStyle w:val="Default"/>
        <w:spacing w:before="120" w:after="120"/>
        <w:ind w:firstLine="708"/>
        <w:jc w:val="both"/>
        <w:rPr>
          <w:rFonts w:ascii="Times New Roman" w:hAnsi="Times New Roman" w:cs="Times New Roman"/>
          <w:b/>
          <w:bCs/>
          <w:sz w:val="20"/>
          <w:szCs w:val="20"/>
          <w:lang w:val="en-US"/>
        </w:rPr>
      </w:pPr>
      <w:r w:rsidRPr="00DD794A">
        <w:rPr>
          <w:rFonts w:ascii="Times New Roman" w:hAnsi="Times New Roman" w:cs="Times New Roman"/>
          <w:b/>
          <w:bCs/>
          <w:sz w:val="20"/>
          <w:szCs w:val="20"/>
          <w:lang w:val="en-US"/>
        </w:rPr>
        <w:t>Abstra</w:t>
      </w:r>
      <w:r w:rsidR="00EA37A0" w:rsidRPr="00DD794A">
        <w:rPr>
          <w:rFonts w:ascii="Times New Roman" w:hAnsi="Times New Roman" w:cs="Times New Roman"/>
          <w:b/>
          <w:bCs/>
          <w:sz w:val="20"/>
          <w:szCs w:val="20"/>
          <w:lang w:val="en-US"/>
        </w:rPr>
        <w:t>ct</w:t>
      </w:r>
    </w:p>
    <w:p w14:paraId="7E70F1F9" w14:textId="77777777" w:rsidR="00EA37A0" w:rsidRPr="00DD794A" w:rsidRDefault="00B818AD" w:rsidP="00DD794A">
      <w:pPr>
        <w:pStyle w:val="Default"/>
        <w:spacing w:before="120" w:after="120"/>
        <w:ind w:firstLine="708"/>
        <w:jc w:val="both"/>
        <w:rPr>
          <w:rFonts w:ascii="Times New Roman" w:hAnsi="Times New Roman" w:cs="Times New Roman"/>
          <w:b/>
          <w:bCs/>
          <w:sz w:val="20"/>
          <w:szCs w:val="20"/>
          <w:lang w:val="en-US"/>
        </w:rPr>
      </w:pPr>
      <w:r w:rsidRPr="00B818AD">
        <w:rPr>
          <w:rFonts w:ascii="Times New Roman" w:eastAsia="Times New Roman" w:hAnsi="Times New Roman" w:cs="Times New Roman"/>
          <w:color w:val="auto"/>
          <w:sz w:val="20"/>
          <w:szCs w:val="20"/>
          <w:lang w:val="en" w:eastAsia="es-MX"/>
        </w:rPr>
        <w:t>Clinical supervision in medicine is a mode of teaching in the service that pursues as an end the independent practice of the medical profession (Schumacher et al., 2013). In clinical supervision, the teacher assumes a role modeling student performance in a context of real professional practice.</w:t>
      </w:r>
      <w:r w:rsidR="003D1953">
        <w:rPr>
          <w:rFonts w:ascii="Times New Roman" w:eastAsia="Times New Roman" w:hAnsi="Times New Roman" w:cs="Times New Roman"/>
          <w:color w:val="auto"/>
          <w:sz w:val="20"/>
          <w:szCs w:val="20"/>
          <w:lang w:val="en" w:eastAsia="es-MX"/>
        </w:rPr>
        <w:t xml:space="preserve"> </w:t>
      </w:r>
      <w:r w:rsidR="00D546D1" w:rsidRPr="00B818AD">
        <w:rPr>
          <w:rFonts w:ascii="Times New Roman" w:eastAsia="Times New Roman" w:hAnsi="Times New Roman" w:cs="Times New Roman"/>
          <w:color w:val="auto"/>
          <w:sz w:val="20"/>
          <w:szCs w:val="20"/>
          <w:lang w:val="en" w:eastAsia="es-MX"/>
        </w:rPr>
        <w:t>The goal</w:t>
      </w:r>
      <w:r w:rsidR="00EA37A0" w:rsidRPr="00B818AD">
        <w:rPr>
          <w:rFonts w:ascii="Times New Roman" w:eastAsia="Times New Roman" w:hAnsi="Times New Roman" w:cs="Times New Roman"/>
          <w:color w:val="auto"/>
          <w:sz w:val="20"/>
          <w:szCs w:val="20"/>
          <w:lang w:val="en" w:eastAsia="es-MX"/>
        </w:rPr>
        <w:t xml:space="preserve"> of this article </w:t>
      </w:r>
      <w:proofErr w:type="gramStart"/>
      <w:r w:rsidR="00EA37A0" w:rsidRPr="00B818AD">
        <w:rPr>
          <w:rFonts w:ascii="Times New Roman" w:eastAsia="Times New Roman" w:hAnsi="Times New Roman" w:cs="Times New Roman"/>
          <w:color w:val="auto"/>
          <w:sz w:val="20"/>
          <w:szCs w:val="20"/>
          <w:lang w:val="en" w:eastAsia="es-MX"/>
        </w:rPr>
        <w:t>is</w:t>
      </w:r>
      <w:proofErr w:type="gramEnd"/>
      <w:r w:rsidR="00EA37A0" w:rsidRPr="00B818AD">
        <w:rPr>
          <w:rFonts w:ascii="Times New Roman" w:eastAsia="Times New Roman" w:hAnsi="Times New Roman" w:cs="Times New Roman"/>
          <w:color w:val="auto"/>
          <w:sz w:val="20"/>
          <w:szCs w:val="20"/>
          <w:lang w:val="en" w:eastAsia="es-MX"/>
        </w:rPr>
        <w:t xml:space="preserve"> to report the research process that allowed the development of a questionnaire of formative evaluation of clinical supervision based on the opinion of the students. The method consisted of three empirical studies: (</w:t>
      </w:r>
      <w:proofErr w:type="spellStart"/>
      <w:r w:rsidR="00EA37A0" w:rsidRPr="00B818AD">
        <w:rPr>
          <w:rFonts w:ascii="Times New Roman" w:eastAsia="Times New Roman" w:hAnsi="Times New Roman" w:cs="Times New Roman"/>
          <w:color w:val="auto"/>
          <w:sz w:val="20"/>
          <w:szCs w:val="20"/>
          <w:lang w:val="en" w:eastAsia="es-MX"/>
        </w:rPr>
        <w:t>i</w:t>
      </w:r>
      <w:proofErr w:type="spellEnd"/>
      <w:r w:rsidR="00EA37A0" w:rsidRPr="00B818AD">
        <w:rPr>
          <w:rFonts w:ascii="Times New Roman" w:eastAsia="Times New Roman" w:hAnsi="Times New Roman" w:cs="Times New Roman"/>
          <w:color w:val="auto"/>
          <w:sz w:val="20"/>
          <w:szCs w:val="20"/>
          <w:lang w:val="en" w:eastAsia="es-MX"/>
        </w:rPr>
        <w:t>) a process of exploration of the context of clinical supervision that was achieved through documentary analysis and</w:t>
      </w:r>
      <w:r w:rsidR="00D546D1" w:rsidRPr="00B818AD">
        <w:rPr>
          <w:rFonts w:ascii="Times New Roman" w:eastAsia="Times New Roman" w:hAnsi="Times New Roman" w:cs="Times New Roman"/>
          <w:color w:val="auto"/>
          <w:sz w:val="20"/>
          <w:szCs w:val="20"/>
          <w:lang w:val="en" w:eastAsia="es-MX"/>
        </w:rPr>
        <w:t xml:space="preserve"> semi-structured interviews; (ii</w:t>
      </w:r>
      <w:r w:rsidR="00EA37A0" w:rsidRPr="00B818AD">
        <w:rPr>
          <w:rFonts w:ascii="Times New Roman" w:eastAsia="Times New Roman" w:hAnsi="Times New Roman" w:cs="Times New Roman"/>
          <w:color w:val="auto"/>
          <w:sz w:val="20"/>
          <w:szCs w:val="20"/>
          <w:lang w:val="en" w:eastAsia="es-MX"/>
        </w:rPr>
        <w:t xml:space="preserve">) the design of the formative evaluation questionnaire for clinical supervision in medicine, which required the identification in the literature of the domains of clinical </w:t>
      </w:r>
      <w:r w:rsidR="003D1953" w:rsidRPr="00B818AD">
        <w:rPr>
          <w:rFonts w:ascii="Times New Roman" w:eastAsia="Times New Roman" w:hAnsi="Times New Roman" w:cs="Times New Roman"/>
          <w:color w:val="auto"/>
          <w:sz w:val="20"/>
          <w:szCs w:val="20"/>
          <w:lang w:val="en" w:eastAsia="es-MX"/>
        </w:rPr>
        <w:t>supervisors</w:t>
      </w:r>
      <w:r w:rsidR="00EA37A0" w:rsidRPr="00B818AD">
        <w:rPr>
          <w:rFonts w:ascii="Times New Roman" w:eastAsia="Times New Roman" w:hAnsi="Times New Roman" w:cs="Times New Roman"/>
          <w:color w:val="auto"/>
          <w:sz w:val="20"/>
          <w:szCs w:val="20"/>
          <w:lang w:val="en" w:eastAsia="es-MX"/>
        </w:rPr>
        <w:t xml:space="preserve"> define an instrument planning matrix, submit the plannin</w:t>
      </w:r>
      <w:r w:rsidR="005820C8" w:rsidRPr="00B818AD">
        <w:rPr>
          <w:rFonts w:ascii="Times New Roman" w:eastAsia="Times New Roman" w:hAnsi="Times New Roman" w:cs="Times New Roman"/>
          <w:color w:val="auto"/>
          <w:sz w:val="20"/>
          <w:szCs w:val="20"/>
          <w:lang w:val="en" w:eastAsia="es-MX"/>
        </w:rPr>
        <w:t>g matrix to content validation b</w:t>
      </w:r>
      <w:r w:rsidR="00EA37A0" w:rsidRPr="00B818AD">
        <w:rPr>
          <w:rFonts w:ascii="Times New Roman" w:eastAsia="Times New Roman" w:hAnsi="Times New Roman" w:cs="Times New Roman"/>
          <w:color w:val="auto"/>
          <w:sz w:val="20"/>
          <w:szCs w:val="20"/>
          <w:lang w:val="en" w:eastAsia="es-MX"/>
        </w:rPr>
        <w:t>y experts, a pilot study and a content va</w:t>
      </w:r>
      <w:r w:rsidR="005820C8" w:rsidRPr="00B818AD">
        <w:rPr>
          <w:rFonts w:ascii="Times New Roman" w:eastAsia="Times New Roman" w:hAnsi="Times New Roman" w:cs="Times New Roman"/>
          <w:color w:val="auto"/>
          <w:sz w:val="20"/>
          <w:szCs w:val="20"/>
          <w:lang w:val="en" w:eastAsia="es-MX"/>
        </w:rPr>
        <w:t>lidation process of the items</w:t>
      </w:r>
      <w:r w:rsidR="002E4DF9">
        <w:rPr>
          <w:rFonts w:ascii="Times New Roman" w:eastAsia="Times New Roman" w:hAnsi="Times New Roman" w:cs="Times New Roman"/>
          <w:color w:val="auto"/>
          <w:sz w:val="20"/>
          <w:szCs w:val="20"/>
          <w:lang w:val="en" w:eastAsia="es-MX"/>
        </w:rPr>
        <w:t xml:space="preserve">; and (iii) a third study to generate validity and reliability evidences. </w:t>
      </w:r>
      <w:r w:rsidR="00EA37A0" w:rsidRPr="00B818AD">
        <w:rPr>
          <w:rFonts w:ascii="Times New Roman" w:eastAsia="Times New Roman" w:hAnsi="Times New Roman" w:cs="Times New Roman"/>
          <w:color w:val="auto"/>
          <w:sz w:val="20"/>
          <w:szCs w:val="20"/>
          <w:lang w:val="en" w:eastAsia="es-MX"/>
        </w:rPr>
        <w:t>The results of this research revolve around the construction of a formative evaluation questionnaire of clinical supervision that allows valid and reliable interpretations. The evidence generated in the research represents a contribution to the study object, since they confirm that the evaluation of the teaching competences, regardless of t</w:t>
      </w:r>
      <w:r w:rsidR="005820C8" w:rsidRPr="00B818AD">
        <w:rPr>
          <w:rFonts w:ascii="Times New Roman" w:eastAsia="Times New Roman" w:hAnsi="Times New Roman" w:cs="Times New Roman"/>
          <w:color w:val="auto"/>
          <w:sz w:val="20"/>
          <w:szCs w:val="20"/>
          <w:lang w:val="en" w:eastAsia="es-MX"/>
        </w:rPr>
        <w:t>he context, requires consider the didactic planning</w:t>
      </w:r>
      <w:r w:rsidR="00EA37A0" w:rsidRPr="00B818AD">
        <w:rPr>
          <w:rFonts w:ascii="Times New Roman" w:eastAsia="Times New Roman" w:hAnsi="Times New Roman" w:cs="Times New Roman"/>
          <w:color w:val="auto"/>
          <w:sz w:val="20"/>
          <w:szCs w:val="20"/>
          <w:lang w:val="en" w:eastAsia="es-MX"/>
        </w:rPr>
        <w:t xml:space="preserve">, the conduction of the teaching process itself and the evaluation of the learning of the </w:t>
      </w:r>
      <w:r w:rsidR="00EA37A0" w:rsidRPr="00EA37A0">
        <w:rPr>
          <w:rFonts w:ascii="Times New Roman" w:eastAsia="Times New Roman" w:hAnsi="Times New Roman" w:cs="Times New Roman"/>
          <w:color w:val="auto"/>
          <w:sz w:val="20"/>
          <w:szCs w:val="20"/>
          <w:lang w:val="en" w:eastAsia="es-MX"/>
        </w:rPr>
        <w:t>students.</w:t>
      </w:r>
    </w:p>
    <w:p w14:paraId="7E70F1FA" w14:textId="2B908845" w:rsidR="005004D0" w:rsidRPr="00A22C1E" w:rsidRDefault="00797524" w:rsidP="00DD794A">
      <w:pPr>
        <w:pStyle w:val="Default"/>
        <w:spacing w:before="120" w:after="120"/>
        <w:ind w:firstLine="708"/>
        <w:jc w:val="both"/>
        <w:rPr>
          <w:rFonts w:ascii="Times New Roman" w:hAnsi="Times New Roman" w:cs="Times New Roman"/>
          <w:sz w:val="20"/>
          <w:szCs w:val="20"/>
          <w:lang w:val="en-US"/>
        </w:rPr>
      </w:pPr>
      <w:r>
        <w:rPr>
          <w:rFonts w:ascii="Times New Roman" w:hAnsi="Times New Roman" w:cs="Times New Roman"/>
          <w:i/>
          <w:iCs/>
          <w:sz w:val="20"/>
          <w:szCs w:val="20"/>
          <w:lang w:val="en-US"/>
        </w:rPr>
        <w:t>Key words</w:t>
      </w:r>
      <w:r w:rsidR="005004D0" w:rsidRPr="00A22C1E">
        <w:rPr>
          <w:rFonts w:ascii="Times New Roman" w:hAnsi="Times New Roman" w:cs="Times New Roman"/>
          <w:i/>
          <w:iCs/>
          <w:sz w:val="20"/>
          <w:szCs w:val="20"/>
          <w:lang w:val="en-US"/>
        </w:rPr>
        <w:t xml:space="preserve">: </w:t>
      </w:r>
      <w:r w:rsidR="00D6264E">
        <w:rPr>
          <w:rFonts w:ascii="Times New Roman" w:hAnsi="Times New Roman" w:cs="Times New Roman"/>
          <w:iCs/>
          <w:sz w:val="20"/>
          <w:szCs w:val="20"/>
          <w:lang w:val="en-US"/>
        </w:rPr>
        <w:t xml:space="preserve">medicine, </w:t>
      </w:r>
      <w:r w:rsidR="00C0080A">
        <w:rPr>
          <w:rFonts w:ascii="Times New Roman" w:hAnsi="Times New Roman" w:cs="Times New Roman"/>
          <w:iCs/>
          <w:sz w:val="20"/>
          <w:szCs w:val="20"/>
          <w:lang w:val="en-US"/>
        </w:rPr>
        <w:t>formative evaluation</w:t>
      </w:r>
      <w:r w:rsidR="00EA37A0">
        <w:rPr>
          <w:rFonts w:ascii="Times New Roman" w:hAnsi="Times New Roman" w:cs="Times New Roman"/>
          <w:iCs/>
          <w:sz w:val="20"/>
          <w:szCs w:val="20"/>
          <w:lang w:val="en-US"/>
        </w:rPr>
        <w:t xml:space="preserve">, </w:t>
      </w:r>
      <w:r w:rsidR="00D6264E">
        <w:rPr>
          <w:rFonts w:ascii="Times New Roman" w:hAnsi="Times New Roman" w:cs="Times New Roman"/>
          <w:iCs/>
          <w:sz w:val="20"/>
          <w:szCs w:val="20"/>
          <w:lang w:val="en-US"/>
        </w:rPr>
        <w:t xml:space="preserve">teaching evaluation, </w:t>
      </w:r>
      <w:r w:rsidR="00EA37A0">
        <w:rPr>
          <w:rFonts w:ascii="Times New Roman" w:hAnsi="Times New Roman" w:cs="Times New Roman"/>
          <w:iCs/>
          <w:sz w:val="20"/>
          <w:szCs w:val="20"/>
          <w:lang w:val="en-US"/>
        </w:rPr>
        <w:t>student eva</w:t>
      </w:r>
      <w:r w:rsidR="00D6264E">
        <w:rPr>
          <w:rFonts w:ascii="Times New Roman" w:hAnsi="Times New Roman" w:cs="Times New Roman"/>
          <w:iCs/>
          <w:sz w:val="20"/>
          <w:szCs w:val="20"/>
          <w:lang w:val="en-US"/>
        </w:rPr>
        <w:t>luation of teacher performance</w:t>
      </w:r>
      <w:r w:rsidR="00C0080A">
        <w:rPr>
          <w:rFonts w:ascii="Times New Roman" w:hAnsi="Times New Roman" w:cs="Times New Roman"/>
          <w:iCs/>
          <w:sz w:val="20"/>
          <w:szCs w:val="20"/>
          <w:lang w:val="en-US"/>
        </w:rPr>
        <w:t>, test validity</w:t>
      </w:r>
      <w:r w:rsidR="00EA37A0">
        <w:rPr>
          <w:rFonts w:ascii="Times New Roman" w:hAnsi="Times New Roman" w:cs="Times New Roman"/>
          <w:sz w:val="20"/>
          <w:szCs w:val="20"/>
          <w:lang w:val="en-US"/>
        </w:rPr>
        <w:t>.</w:t>
      </w:r>
    </w:p>
    <w:p w14:paraId="7E70F1FB" w14:textId="77777777" w:rsidR="005004D0" w:rsidRPr="00AB0274" w:rsidRDefault="005004D0" w:rsidP="00DD794A">
      <w:pPr>
        <w:pStyle w:val="Default"/>
        <w:spacing w:before="120" w:after="120"/>
        <w:jc w:val="both"/>
        <w:rPr>
          <w:rFonts w:ascii="Times New Roman" w:hAnsi="Times New Roman" w:cs="Times New Roman"/>
        </w:rPr>
      </w:pPr>
      <w:r w:rsidRPr="00AB0274">
        <w:rPr>
          <w:rFonts w:ascii="Times New Roman" w:hAnsi="Times New Roman" w:cs="Times New Roman"/>
          <w:b/>
          <w:bCs/>
        </w:rPr>
        <w:t xml:space="preserve">Introducción </w:t>
      </w:r>
    </w:p>
    <w:p w14:paraId="7E70F1FC" w14:textId="0EFDB0DA" w:rsidR="00632B28" w:rsidRDefault="00666316" w:rsidP="00DD794A">
      <w:pPr>
        <w:spacing w:before="120" w:after="120" w:line="240" w:lineRule="auto"/>
        <w:ind w:firstLine="708"/>
        <w:jc w:val="both"/>
        <w:rPr>
          <w:rFonts w:ascii="Times New Roman" w:hAnsi="Times New Roman"/>
          <w:sz w:val="24"/>
          <w:szCs w:val="24"/>
        </w:rPr>
      </w:pPr>
      <w:r>
        <w:rPr>
          <w:rFonts w:ascii="Times New Roman" w:hAnsi="Times New Roman"/>
          <w:sz w:val="24"/>
          <w:szCs w:val="24"/>
        </w:rPr>
        <w:t>L</w:t>
      </w:r>
      <w:r w:rsidRPr="001978E6">
        <w:rPr>
          <w:rFonts w:ascii="Times New Roman" w:hAnsi="Times New Roman"/>
          <w:sz w:val="24"/>
          <w:szCs w:val="24"/>
        </w:rPr>
        <w:t>a supervisión clínica</w:t>
      </w:r>
      <w:r w:rsidR="00632B28">
        <w:rPr>
          <w:rFonts w:ascii="Times New Roman" w:hAnsi="Times New Roman"/>
          <w:sz w:val="24"/>
          <w:szCs w:val="24"/>
        </w:rPr>
        <w:t xml:space="preserve"> en medicina</w:t>
      </w:r>
      <w:r w:rsidRPr="001978E6">
        <w:rPr>
          <w:rFonts w:ascii="Times New Roman" w:hAnsi="Times New Roman"/>
          <w:sz w:val="24"/>
          <w:szCs w:val="24"/>
        </w:rPr>
        <w:t xml:space="preserve"> es una modalidad de enseñanza </w:t>
      </w:r>
      <w:r w:rsidR="00632B28">
        <w:rPr>
          <w:rFonts w:ascii="Times New Roman" w:hAnsi="Times New Roman"/>
          <w:sz w:val="24"/>
          <w:szCs w:val="24"/>
        </w:rPr>
        <w:t>en el servicio</w:t>
      </w:r>
      <w:r w:rsidR="00446DA0">
        <w:rPr>
          <w:rFonts w:ascii="Times New Roman" w:hAnsi="Times New Roman"/>
          <w:sz w:val="24"/>
          <w:szCs w:val="24"/>
        </w:rPr>
        <w:t xml:space="preserve"> que persigue como fin la práctica independiente de la profesión médica</w:t>
      </w:r>
      <w:r w:rsidR="00A615FF">
        <w:rPr>
          <w:rFonts w:ascii="Times New Roman" w:hAnsi="Times New Roman"/>
          <w:sz w:val="24"/>
          <w:szCs w:val="24"/>
        </w:rPr>
        <w:t xml:space="preserve"> (Schumacher et al., 2013)</w:t>
      </w:r>
      <w:r w:rsidR="00446DA0">
        <w:rPr>
          <w:rFonts w:ascii="Times New Roman" w:hAnsi="Times New Roman"/>
          <w:sz w:val="24"/>
          <w:szCs w:val="24"/>
        </w:rPr>
        <w:t>. En la supervisión clínica</w:t>
      </w:r>
      <w:r w:rsidR="00797524">
        <w:rPr>
          <w:rFonts w:ascii="Times New Roman" w:hAnsi="Times New Roman"/>
          <w:sz w:val="24"/>
          <w:szCs w:val="24"/>
        </w:rPr>
        <w:t>,</w:t>
      </w:r>
      <w:r w:rsidR="00632B28">
        <w:rPr>
          <w:rFonts w:ascii="Times New Roman" w:hAnsi="Times New Roman"/>
          <w:sz w:val="24"/>
          <w:szCs w:val="24"/>
        </w:rPr>
        <w:t xml:space="preserve"> el profesor asume una función de modelador de los desempeños de los estudiantes</w:t>
      </w:r>
      <w:r w:rsidR="00F10F9B">
        <w:rPr>
          <w:rFonts w:ascii="Times New Roman" w:hAnsi="Times New Roman"/>
          <w:sz w:val="24"/>
          <w:szCs w:val="24"/>
        </w:rPr>
        <w:t>,</w:t>
      </w:r>
      <w:r w:rsidR="00632B28">
        <w:rPr>
          <w:rFonts w:ascii="Times New Roman" w:hAnsi="Times New Roman"/>
          <w:sz w:val="24"/>
          <w:szCs w:val="24"/>
        </w:rPr>
        <w:t xml:space="preserve"> en un conte</w:t>
      </w:r>
      <w:r w:rsidR="00050A06">
        <w:rPr>
          <w:rFonts w:ascii="Times New Roman" w:hAnsi="Times New Roman"/>
          <w:sz w:val="24"/>
          <w:szCs w:val="24"/>
        </w:rPr>
        <w:t>xto de práctica profesional real</w:t>
      </w:r>
      <w:r w:rsidR="00446DA0">
        <w:rPr>
          <w:rFonts w:ascii="Times New Roman" w:hAnsi="Times New Roman"/>
          <w:sz w:val="24"/>
          <w:szCs w:val="24"/>
        </w:rPr>
        <w:t xml:space="preserve">, </w:t>
      </w:r>
      <w:r w:rsidR="00F10F9B">
        <w:rPr>
          <w:rFonts w:ascii="Times New Roman" w:hAnsi="Times New Roman"/>
          <w:sz w:val="24"/>
          <w:szCs w:val="24"/>
        </w:rPr>
        <w:t xml:space="preserve">donde </w:t>
      </w:r>
      <w:r w:rsidR="00446DA0">
        <w:rPr>
          <w:rFonts w:ascii="Times New Roman" w:hAnsi="Times New Roman"/>
          <w:sz w:val="24"/>
          <w:szCs w:val="24"/>
        </w:rPr>
        <w:t xml:space="preserve">los </w:t>
      </w:r>
      <w:r w:rsidR="00446DA0">
        <w:rPr>
          <w:rFonts w:ascii="Times New Roman" w:hAnsi="Times New Roman"/>
          <w:sz w:val="24"/>
          <w:szCs w:val="24"/>
        </w:rPr>
        <w:lastRenderedPageBreak/>
        <w:t>contenidos pedagógicos se circunscriben a la atención de enfermos, sus familias y las necesidades de la institución de salud en la que se ll</w:t>
      </w:r>
      <w:r w:rsidR="00A615FF">
        <w:rPr>
          <w:rFonts w:ascii="Times New Roman" w:hAnsi="Times New Roman"/>
          <w:sz w:val="24"/>
          <w:szCs w:val="24"/>
        </w:rPr>
        <w:t xml:space="preserve">eva a cabo el proceso educativo </w:t>
      </w:r>
      <w:r w:rsidR="00A615FF" w:rsidRPr="00AB0274">
        <w:rPr>
          <w:rFonts w:ascii="Times New Roman" w:hAnsi="Times New Roman" w:cs="Times New Roman"/>
          <w:sz w:val="24"/>
          <w:szCs w:val="24"/>
        </w:rPr>
        <w:t>(</w:t>
      </w:r>
      <w:proofErr w:type="spellStart"/>
      <w:r w:rsidR="00A615FF" w:rsidRPr="00AB0274">
        <w:rPr>
          <w:rFonts w:ascii="Times New Roman" w:hAnsi="Times New Roman" w:cs="Times New Roman"/>
          <w:sz w:val="24"/>
          <w:szCs w:val="24"/>
        </w:rPr>
        <w:t>Lifshitz-Guinzberg</w:t>
      </w:r>
      <w:proofErr w:type="spellEnd"/>
      <w:r w:rsidR="00A615FF" w:rsidRPr="00AB0274">
        <w:rPr>
          <w:rFonts w:ascii="Times New Roman" w:hAnsi="Times New Roman" w:cs="Times New Roman"/>
          <w:sz w:val="24"/>
          <w:szCs w:val="24"/>
        </w:rPr>
        <w:t>, 2012; Schumacher et al., 2013; Santana et al., 2013)</w:t>
      </w:r>
      <w:r w:rsidR="00A615FF">
        <w:rPr>
          <w:rFonts w:ascii="Times New Roman" w:hAnsi="Times New Roman" w:cs="Times New Roman"/>
          <w:sz w:val="24"/>
          <w:szCs w:val="24"/>
        </w:rPr>
        <w:t>.</w:t>
      </w:r>
    </w:p>
    <w:p w14:paraId="7E70F1FD" w14:textId="77777777" w:rsidR="00666316" w:rsidRDefault="009773A8" w:rsidP="00DD794A">
      <w:pPr>
        <w:spacing w:before="120" w:after="120" w:line="240" w:lineRule="auto"/>
        <w:ind w:firstLine="708"/>
        <w:jc w:val="both"/>
        <w:rPr>
          <w:rFonts w:ascii="Times New Roman" w:hAnsi="Times New Roman"/>
          <w:sz w:val="24"/>
          <w:szCs w:val="24"/>
        </w:rPr>
      </w:pPr>
      <w:r>
        <w:rPr>
          <w:rFonts w:ascii="Times New Roman" w:hAnsi="Times New Roman"/>
          <w:sz w:val="24"/>
          <w:szCs w:val="24"/>
        </w:rPr>
        <w:t>Es así que</w:t>
      </w:r>
      <w:r w:rsidR="00446DA0">
        <w:rPr>
          <w:rFonts w:ascii="Times New Roman" w:hAnsi="Times New Roman"/>
          <w:sz w:val="24"/>
          <w:szCs w:val="24"/>
        </w:rPr>
        <w:t xml:space="preserve"> la supervisión clínica tiene </w:t>
      </w:r>
      <w:r w:rsidR="00666316" w:rsidRPr="001978E6">
        <w:rPr>
          <w:rFonts w:ascii="Times New Roman" w:hAnsi="Times New Roman"/>
          <w:sz w:val="24"/>
          <w:szCs w:val="24"/>
        </w:rPr>
        <w:t xml:space="preserve">dos características medulares e interrelacionadas: por una parte, se centra en la atención integral a pacientes en condición de enfermedad, y por otro lado promueve gradualmente en los estudiantes la práctica independiente de la profesión médica. </w:t>
      </w:r>
    </w:p>
    <w:p w14:paraId="7E70F1FE" w14:textId="77777777" w:rsidR="003C54F1" w:rsidRDefault="003C54F1" w:rsidP="00DD794A">
      <w:pPr>
        <w:spacing w:before="120" w:after="120" w:line="240" w:lineRule="auto"/>
        <w:ind w:firstLine="708"/>
        <w:jc w:val="both"/>
        <w:rPr>
          <w:rFonts w:ascii="Times New Roman" w:hAnsi="Times New Roman"/>
          <w:sz w:val="24"/>
          <w:szCs w:val="24"/>
        </w:rPr>
      </w:pPr>
      <w:r>
        <w:rPr>
          <w:rFonts w:ascii="Times New Roman" w:hAnsi="Times New Roman"/>
          <w:sz w:val="24"/>
          <w:szCs w:val="24"/>
        </w:rPr>
        <w:t>En estas condiciones, el supervisor clínico en medicina requiere, en primer lugar, prever todos los escenarios posibles para su labor a través de la planificación didáctica, en donde establece las metas formativas, las estrategias de las que echará mano en condiciones determinadas, los materiales que requiere para desarrollar su trabajo y los procedimientos para as</w:t>
      </w:r>
      <w:r w:rsidR="008B44B4">
        <w:rPr>
          <w:rFonts w:ascii="Times New Roman" w:hAnsi="Times New Roman"/>
          <w:sz w:val="24"/>
          <w:szCs w:val="24"/>
        </w:rPr>
        <w:t xml:space="preserve">egurar </w:t>
      </w:r>
      <w:r w:rsidR="009773A8">
        <w:rPr>
          <w:rFonts w:ascii="Times New Roman" w:hAnsi="Times New Roman"/>
          <w:sz w:val="24"/>
          <w:szCs w:val="24"/>
        </w:rPr>
        <w:t>el logro de las metas</w:t>
      </w:r>
      <w:r w:rsidR="008B44B4">
        <w:rPr>
          <w:rFonts w:ascii="Times New Roman" w:hAnsi="Times New Roman"/>
          <w:sz w:val="24"/>
          <w:szCs w:val="24"/>
        </w:rPr>
        <w:t xml:space="preserve"> </w:t>
      </w:r>
      <w:r w:rsidR="008B44B4" w:rsidRPr="007B1B79">
        <w:rPr>
          <w:rFonts w:ascii="Times New Roman" w:hAnsi="Times New Roman"/>
          <w:sz w:val="24"/>
          <w:szCs w:val="24"/>
        </w:rPr>
        <w:t>(</w:t>
      </w:r>
      <w:proofErr w:type="spellStart"/>
      <w:r w:rsidR="008B44B4" w:rsidRPr="007B1B79">
        <w:rPr>
          <w:rFonts w:ascii="Times New Roman" w:hAnsi="Times New Roman"/>
          <w:sz w:val="24"/>
          <w:szCs w:val="24"/>
        </w:rPr>
        <w:t>Paice</w:t>
      </w:r>
      <w:proofErr w:type="spellEnd"/>
      <w:r w:rsidR="008B44B4" w:rsidRPr="009610F9">
        <w:rPr>
          <w:rFonts w:ascii="Times New Roman" w:hAnsi="Times New Roman"/>
          <w:sz w:val="24"/>
          <w:szCs w:val="24"/>
        </w:rPr>
        <w:t xml:space="preserve"> </w:t>
      </w:r>
      <w:r w:rsidR="008B44B4" w:rsidRPr="00363AD3">
        <w:rPr>
          <w:rFonts w:ascii="Times New Roman" w:hAnsi="Times New Roman"/>
          <w:sz w:val="24"/>
          <w:szCs w:val="24"/>
        </w:rPr>
        <w:t>et al.</w:t>
      </w:r>
      <w:r w:rsidR="008B44B4" w:rsidRPr="007B1B79">
        <w:rPr>
          <w:rFonts w:ascii="Times New Roman" w:hAnsi="Times New Roman"/>
          <w:sz w:val="24"/>
          <w:szCs w:val="24"/>
        </w:rPr>
        <w:t xml:space="preserve">, 2002; </w:t>
      </w:r>
      <w:proofErr w:type="spellStart"/>
      <w:r w:rsidR="008B44B4" w:rsidRPr="007B1B79">
        <w:rPr>
          <w:rFonts w:ascii="Times New Roman" w:hAnsi="Times New Roman"/>
          <w:sz w:val="24"/>
          <w:szCs w:val="24"/>
        </w:rPr>
        <w:t>Falender</w:t>
      </w:r>
      <w:proofErr w:type="spellEnd"/>
      <w:r w:rsidR="008B44B4" w:rsidRPr="007B1B79">
        <w:rPr>
          <w:rFonts w:ascii="Times New Roman" w:hAnsi="Times New Roman"/>
          <w:sz w:val="24"/>
          <w:szCs w:val="24"/>
        </w:rPr>
        <w:t xml:space="preserve"> y </w:t>
      </w:r>
      <w:proofErr w:type="spellStart"/>
      <w:r w:rsidR="008B44B4" w:rsidRPr="007B1B79">
        <w:rPr>
          <w:rFonts w:ascii="Times New Roman" w:hAnsi="Times New Roman"/>
          <w:sz w:val="24"/>
          <w:szCs w:val="24"/>
        </w:rPr>
        <w:t>Shafranske</w:t>
      </w:r>
      <w:proofErr w:type="spellEnd"/>
      <w:r w:rsidR="008B44B4" w:rsidRPr="007B1B79">
        <w:rPr>
          <w:rFonts w:ascii="Times New Roman" w:hAnsi="Times New Roman"/>
          <w:sz w:val="24"/>
          <w:szCs w:val="24"/>
        </w:rPr>
        <w:t xml:space="preserve">, 2004; </w:t>
      </w:r>
      <w:proofErr w:type="spellStart"/>
      <w:r w:rsidR="008B44B4" w:rsidRPr="007B1B79">
        <w:rPr>
          <w:rFonts w:ascii="Times New Roman" w:hAnsi="Times New Roman"/>
          <w:sz w:val="24"/>
          <w:szCs w:val="24"/>
        </w:rPr>
        <w:t>Cruess</w:t>
      </w:r>
      <w:proofErr w:type="spellEnd"/>
      <w:r w:rsidR="008B44B4" w:rsidRPr="009610F9">
        <w:rPr>
          <w:rFonts w:ascii="Times New Roman" w:hAnsi="Times New Roman"/>
          <w:sz w:val="24"/>
          <w:szCs w:val="24"/>
        </w:rPr>
        <w:t xml:space="preserve"> </w:t>
      </w:r>
      <w:r w:rsidR="008B44B4" w:rsidRPr="00363AD3">
        <w:rPr>
          <w:rFonts w:ascii="Times New Roman" w:hAnsi="Times New Roman"/>
          <w:sz w:val="24"/>
          <w:szCs w:val="24"/>
        </w:rPr>
        <w:t>et al.</w:t>
      </w:r>
      <w:r w:rsidR="008B44B4" w:rsidRPr="007B1B79">
        <w:rPr>
          <w:rFonts w:ascii="Times New Roman" w:hAnsi="Times New Roman"/>
          <w:sz w:val="24"/>
          <w:szCs w:val="24"/>
        </w:rPr>
        <w:t xml:space="preserve">, 2008; </w:t>
      </w:r>
      <w:proofErr w:type="spellStart"/>
      <w:r w:rsidR="008B44B4" w:rsidRPr="007B1B79">
        <w:rPr>
          <w:rFonts w:ascii="Times New Roman" w:hAnsi="Times New Roman"/>
          <w:sz w:val="24"/>
          <w:szCs w:val="24"/>
        </w:rPr>
        <w:t>Hore</w:t>
      </w:r>
      <w:proofErr w:type="spellEnd"/>
      <w:r w:rsidR="008B44B4" w:rsidRPr="007B1B79">
        <w:rPr>
          <w:rFonts w:ascii="Times New Roman" w:hAnsi="Times New Roman"/>
          <w:sz w:val="24"/>
          <w:szCs w:val="24"/>
        </w:rPr>
        <w:t xml:space="preserve">, Lancashire y </w:t>
      </w:r>
      <w:proofErr w:type="spellStart"/>
      <w:r w:rsidR="008B44B4" w:rsidRPr="007B1B79">
        <w:rPr>
          <w:rFonts w:ascii="Times New Roman" w:hAnsi="Times New Roman"/>
          <w:sz w:val="24"/>
          <w:szCs w:val="24"/>
        </w:rPr>
        <w:t>Fassett</w:t>
      </w:r>
      <w:proofErr w:type="spellEnd"/>
      <w:r w:rsidR="008B44B4" w:rsidRPr="007B1B79">
        <w:rPr>
          <w:rFonts w:ascii="Times New Roman" w:hAnsi="Times New Roman"/>
          <w:sz w:val="24"/>
          <w:szCs w:val="24"/>
        </w:rPr>
        <w:t xml:space="preserve">, 2009; </w:t>
      </w:r>
      <w:proofErr w:type="spellStart"/>
      <w:r w:rsidR="008B44B4" w:rsidRPr="007B1B79">
        <w:rPr>
          <w:rFonts w:ascii="Times New Roman" w:hAnsi="Times New Roman"/>
          <w:sz w:val="24"/>
          <w:szCs w:val="24"/>
        </w:rPr>
        <w:t>Jochemsen</w:t>
      </w:r>
      <w:proofErr w:type="spellEnd"/>
      <w:r w:rsidR="008B44B4" w:rsidRPr="007B1B79">
        <w:rPr>
          <w:rFonts w:ascii="Times New Roman" w:hAnsi="Times New Roman"/>
          <w:sz w:val="24"/>
          <w:szCs w:val="24"/>
        </w:rPr>
        <w:t xml:space="preserve">-Van der </w:t>
      </w:r>
      <w:proofErr w:type="spellStart"/>
      <w:r w:rsidR="008B44B4" w:rsidRPr="007B1B79">
        <w:rPr>
          <w:rFonts w:ascii="Times New Roman" w:hAnsi="Times New Roman"/>
          <w:sz w:val="24"/>
          <w:szCs w:val="24"/>
        </w:rPr>
        <w:t>Leeuw</w:t>
      </w:r>
      <w:proofErr w:type="spellEnd"/>
      <w:r w:rsidR="008B44B4" w:rsidRPr="007B1B79">
        <w:rPr>
          <w:rFonts w:ascii="Times New Roman" w:hAnsi="Times New Roman"/>
          <w:sz w:val="24"/>
          <w:szCs w:val="24"/>
        </w:rPr>
        <w:t xml:space="preserve"> </w:t>
      </w:r>
      <w:r w:rsidR="008B44B4" w:rsidRPr="00363AD3">
        <w:rPr>
          <w:rFonts w:ascii="Times New Roman" w:hAnsi="Times New Roman"/>
          <w:sz w:val="24"/>
          <w:szCs w:val="24"/>
        </w:rPr>
        <w:t>et al.</w:t>
      </w:r>
      <w:r w:rsidR="008B44B4" w:rsidRPr="007B1B79">
        <w:rPr>
          <w:rFonts w:ascii="Times New Roman" w:hAnsi="Times New Roman"/>
          <w:i/>
          <w:sz w:val="24"/>
          <w:szCs w:val="24"/>
        </w:rPr>
        <w:t xml:space="preserve">, </w:t>
      </w:r>
      <w:r w:rsidR="008B44B4" w:rsidRPr="007B1B79">
        <w:rPr>
          <w:rFonts w:ascii="Times New Roman" w:hAnsi="Times New Roman"/>
          <w:sz w:val="24"/>
          <w:szCs w:val="24"/>
        </w:rPr>
        <w:t>2013</w:t>
      </w:r>
      <w:r w:rsidR="008B44B4">
        <w:rPr>
          <w:rFonts w:ascii="Times New Roman" w:hAnsi="Times New Roman"/>
          <w:sz w:val="24"/>
          <w:szCs w:val="24"/>
        </w:rPr>
        <w:t>).</w:t>
      </w:r>
    </w:p>
    <w:p w14:paraId="7E70F1FF" w14:textId="77777777" w:rsidR="003C54F1" w:rsidRDefault="003C54F1" w:rsidP="00DD794A">
      <w:pPr>
        <w:spacing w:before="120" w:after="120" w:line="240" w:lineRule="auto"/>
        <w:jc w:val="both"/>
        <w:rPr>
          <w:rFonts w:ascii="Times New Roman" w:hAnsi="Times New Roman"/>
          <w:sz w:val="24"/>
          <w:szCs w:val="24"/>
        </w:rPr>
      </w:pPr>
      <w:r>
        <w:rPr>
          <w:rFonts w:ascii="Times New Roman" w:hAnsi="Times New Roman"/>
          <w:sz w:val="24"/>
          <w:szCs w:val="24"/>
        </w:rPr>
        <w:tab/>
        <w:t xml:space="preserve">En segundo lugar, es necesario que el supervisor clínico asegure </w:t>
      </w:r>
      <w:r w:rsidR="00F10F9B">
        <w:rPr>
          <w:rFonts w:ascii="Times New Roman" w:hAnsi="Times New Roman"/>
          <w:sz w:val="24"/>
          <w:szCs w:val="24"/>
        </w:rPr>
        <w:t xml:space="preserve">que sus alumnos dominen </w:t>
      </w:r>
      <w:r>
        <w:rPr>
          <w:rFonts w:ascii="Times New Roman" w:hAnsi="Times New Roman"/>
          <w:sz w:val="24"/>
          <w:szCs w:val="24"/>
        </w:rPr>
        <w:t>las competenci</w:t>
      </w:r>
      <w:r w:rsidR="00F10F9B">
        <w:rPr>
          <w:rFonts w:ascii="Times New Roman" w:hAnsi="Times New Roman"/>
          <w:sz w:val="24"/>
          <w:szCs w:val="24"/>
        </w:rPr>
        <w:t>as profesionales médicas</w:t>
      </w:r>
      <w:r>
        <w:rPr>
          <w:rFonts w:ascii="Times New Roman" w:hAnsi="Times New Roman"/>
          <w:sz w:val="24"/>
          <w:szCs w:val="24"/>
        </w:rPr>
        <w:t>. Para este propósito, el modelaje es el método por excelencia, a través del cual el supervisor promueve la autonomía progresiva, empezando por mostrar los procedimientos, promover las preguntas y respuestas, fomentar que sus alumnos ensayen de forma supervisada dichos procedimientos, hasta lograr la ejecución independiente</w:t>
      </w:r>
      <w:r w:rsidR="00073E6D">
        <w:rPr>
          <w:rFonts w:ascii="Times New Roman" w:hAnsi="Times New Roman"/>
          <w:sz w:val="24"/>
          <w:szCs w:val="24"/>
        </w:rPr>
        <w:t xml:space="preserve"> de las actividades en cuestión </w:t>
      </w:r>
      <w:r w:rsidR="00073E6D" w:rsidRPr="007B1B79">
        <w:rPr>
          <w:rFonts w:ascii="Times New Roman" w:hAnsi="Times New Roman"/>
          <w:sz w:val="24"/>
          <w:szCs w:val="24"/>
        </w:rPr>
        <w:t>(HHS, s/f</w:t>
      </w:r>
      <w:r w:rsidR="00073E6D">
        <w:rPr>
          <w:rFonts w:ascii="Times New Roman" w:hAnsi="Times New Roman"/>
          <w:sz w:val="24"/>
          <w:szCs w:val="24"/>
        </w:rPr>
        <w:t>;</w:t>
      </w:r>
      <w:r w:rsidR="00073E6D" w:rsidRPr="007B1B79">
        <w:rPr>
          <w:rFonts w:ascii="Times New Roman" w:hAnsi="Times New Roman"/>
          <w:sz w:val="24"/>
          <w:szCs w:val="24"/>
        </w:rPr>
        <w:t xml:space="preserve"> </w:t>
      </w:r>
      <w:proofErr w:type="spellStart"/>
      <w:r w:rsidR="00073E6D" w:rsidRPr="007B1B79">
        <w:rPr>
          <w:rFonts w:ascii="Times New Roman" w:hAnsi="Times New Roman"/>
          <w:sz w:val="24"/>
          <w:szCs w:val="24"/>
        </w:rPr>
        <w:t>Irby</w:t>
      </w:r>
      <w:proofErr w:type="spellEnd"/>
      <w:r w:rsidR="00073E6D" w:rsidRPr="007B1B79">
        <w:rPr>
          <w:rFonts w:ascii="Times New Roman" w:hAnsi="Times New Roman"/>
          <w:sz w:val="24"/>
          <w:szCs w:val="24"/>
        </w:rPr>
        <w:t>, 1994</w:t>
      </w:r>
      <w:r w:rsidR="00073E6D">
        <w:rPr>
          <w:rFonts w:ascii="Times New Roman" w:hAnsi="Times New Roman"/>
          <w:sz w:val="24"/>
          <w:szCs w:val="24"/>
        </w:rPr>
        <w:t>;</w:t>
      </w:r>
      <w:r w:rsidR="00073E6D" w:rsidRPr="00F806AF">
        <w:rPr>
          <w:rFonts w:ascii="Times New Roman" w:hAnsi="Times New Roman"/>
          <w:sz w:val="24"/>
          <w:szCs w:val="24"/>
        </w:rPr>
        <w:t xml:space="preserve"> </w:t>
      </w:r>
      <w:r w:rsidR="00073E6D" w:rsidRPr="007B1B79">
        <w:rPr>
          <w:rFonts w:ascii="Times New Roman" w:hAnsi="Times New Roman"/>
          <w:sz w:val="24"/>
          <w:szCs w:val="24"/>
        </w:rPr>
        <w:t xml:space="preserve">Kennedy, </w:t>
      </w:r>
      <w:proofErr w:type="spellStart"/>
      <w:r w:rsidR="00073E6D" w:rsidRPr="007B1B79">
        <w:rPr>
          <w:rFonts w:ascii="Times New Roman" w:hAnsi="Times New Roman"/>
          <w:sz w:val="24"/>
          <w:szCs w:val="24"/>
        </w:rPr>
        <w:t>Regehr</w:t>
      </w:r>
      <w:proofErr w:type="spellEnd"/>
      <w:r w:rsidR="00073E6D" w:rsidRPr="007B1B79">
        <w:rPr>
          <w:rFonts w:ascii="Times New Roman" w:hAnsi="Times New Roman"/>
          <w:sz w:val="24"/>
          <w:szCs w:val="24"/>
        </w:rPr>
        <w:t xml:space="preserve">, Baker y </w:t>
      </w:r>
      <w:proofErr w:type="spellStart"/>
      <w:r w:rsidR="00073E6D" w:rsidRPr="007B1B79">
        <w:rPr>
          <w:rFonts w:ascii="Times New Roman" w:hAnsi="Times New Roman"/>
          <w:sz w:val="24"/>
          <w:szCs w:val="24"/>
        </w:rPr>
        <w:t>Lingard</w:t>
      </w:r>
      <w:proofErr w:type="spellEnd"/>
      <w:r w:rsidR="00073E6D" w:rsidRPr="007B1B79">
        <w:rPr>
          <w:rFonts w:ascii="Times New Roman" w:hAnsi="Times New Roman"/>
          <w:sz w:val="24"/>
          <w:szCs w:val="24"/>
        </w:rPr>
        <w:t>, 2005)</w:t>
      </w:r>
      <w:r w:rsidR="00073E6D">
        <w:rPr>
          <w:rFonts w:ascii="Times New Roman" w:hAnsi="Times New Roman"/>
          <w:sz w:val="24"/>
          <w:szCs w:val="24"/>
        </w:rPr>
        <w:t>.</w:t>
      </w:r>
    </w:p>
    <w:p w14:paraId="7E70F200" w14:textId="77777777" w:rsidR="00F10F9B" w:rsidRDefault="003C54F1" w:rsidP="00DD794A">
      <w:pPr>
        <w:spacing w:before="120" w:after="120" w:line="240" w:lineRule="auto"/>
        <w:jc w:val="both"/>
        <w:rPr>
          <w:rFonts w:ascii="Times New Roman" w:hAnsi="Times New Roman"/>
          <w:sz w:val="24"/>
          <w:szCs w:val="24"/>
        </w:rPr>
      </w:pPr>
      <w:r>
        <w:rPr>
          <w:rFonts w:ascii="Times New Roman" w:hAnsi="Times New Roman"/>
          <w:sz w:val="24"/>
          <w:szCs w:val="24"/>
        </w:rPr>
        <w:tab/>
      </w:r>
      <w:r w:rsidR="008A4FD7">
        <w:rPr>
          <w:rFonts w:ascii="Times New Roman" w:hAnsi="Times New Roman"/>
          <w:sz w:val="24"/>
          <w:szCs w:val="24"/>
        </w:rPr>
        <w:t>El tercer elemento esencial de la supervisión clínica</w:t>
      </w:r>
      <w:r>
        <w:rPr>
          <w:rFonts w:ascii="Times New Roman" w:hAnsi="Times New Roman"/>
          <w:sz w:val="24"/>
          <w:szCs w:val="24"/>
        </w:rPr>
        <w:t xml:space="preserve"> se refiere al monitoreo permanente del desempeño de los estudiantes y el ajuste de las estrategias didácticas utilizadas para resolver las necesidades que se vayan presentando en el proceso formativo. En consecuencia, la evaluación del aprendizaje de los supervisados es un elemento fundamental para la efectividad de la supervisión clínica en medicin</w:t>
      </w:r>
      <w:r w:rsidR="000C3C83">
        <w:rPr>
          <w:rFonts w:ascii="Times New Roman" w:hAnsi="Times New Roman"/>
          <w:sz w:val="24"/>
          <w:szCs w:val="24"/>
        </w:rPr>
        <w:t xml:space="preserve">a </w:t>
      </w:r>
      <w:r w:rsidR="000C3C83" w:rsidRPr="007B1B79">
        <w:rPr>
          <w:rFonts w:ascii="Times New Roman" w:hAnsi="Times New Roman"/>
          <w:sz w:val="24"/>
          <w:szCs w:val="24"/>
        </w:rPr>
        <w:t>(</w:t>
      </w:r>
      <w:proofErr w:type="spellStart"/>
      <w:r w:rsidR="000C3C83" w:rsidRPr="007B1B79">
        <w:rPr>
          <w:rFonts w:ascii="Times New Roman" w:hAnsi="Times New Roman"/>
          <w:sz w:val="24"/>
          <w:szCs w:val="24"/>
        </w:rPr>
        <w:t>Kilminster</w:t>
      </w:r>
      <w:proofErr w:type="spellEnd"/>
      <w:r w:rsidR="000C3C83" w:rsidRPr="007B1B79">
        <w:rPr>
          <w:rFonts w:ascii="Times New Roman" w:hAnsi="Times New Roman"/>
          <w:sz w:val="24"/>
          <w:szCs w:val="24"/>
        </w:rPr>
        <w:t xml:space="preserve"> y </w:t>
      </w:r>
      <w:proofErr w:type="spellStart"/>
      <w:r w:rsidR="000C3C83" w:rsidRPr="007B1B79">
        <w:rPr>
          <w:rFonts w:ascii="Times New Roman" w:hAnsi="Times New Roman"/>
          <w:sz w:val="24"/>
          <w:szCs w:val="24"/>
        </w:rPr>
        <w:t>Jolly</w:t>
      </w:r>
      <w:proofErr w:type="spellEnd"/>
      <w:r w:rsidR="000C3C83" w:rsidRPr="007B1B79">
        <w:rPr>
          <w:rFonts w:ascii="Times New Roman" w:hAnsi="Times New Roman"/>
          <w:sz w:val="24"/>
          <w:szCs w:val="24"/>
        </w:rPr>
        <w:t>, 2000</w:t>
      </w:r>
      <w:r w:rsidR="000C3C83">
        <w:rPr>
          <w:rFonts w:ascii="Times New Roman" w:hAnsi="Times New Roman"/>
          <w:sz w:val="24"/>
          <w:szCs w:val="24"/>
        </w:rPr>
        <w:t xml:space="preserve">; </w:t>
      </w:r>
      <w:r w:rsidR="000C3C83" w:rsidRPr="007B1B79">
        <w:rPr>
          <w:rFonts w:ascii="Times New Roman" w:hAnsi="Times New Roman"/>
          <w:sz w:val="24"/>
          <w:szCs w:val="24"/>
        </w:rPr>
        <w:t xml:space="preserve">Durante, 2006; </w:t>
      </w:r>
      <w:r w:rsidR="000C3C83">
        <w:rPr>
          <w:rFonts w:ascii="Times New Roman" w:hAnsi="Times New Roman"/>
          <w:sz w:val="24"/>
          <w:szCs w:val="24"/>
        </w:rPr>
        <w:t xml:space="preserve">Epstein, 2007; </w:t>
      </w:r>
      <w:proofErr w:type="spellStart"/>
      <w:r w:rsidR="000C3C83" w:rsidRPr="007B1B79">
        <w:rPr>
          <w:rFonts w:ascii="Times New Roman" w:hAnsi="Times New Roman"/>
          <w:sz w:val="24"/>
          <w:szCs w:val="24"/>
        </w:rPr>
        <w:t>Fornells</w:t>
      </w:r>
      <w:proofErr w:type="spellEnd"/>
      <w:r w:rsidR="000C3C83" w:rsidRPr="007B1B79">
        <w:rPr>
          <w:rFonts w:ascii="Times New Roman" w:hAnsi="Times New Roman"/>
          <w:sz w:val="24"/>
          <w:szCs w:val="24"/>
        </w:rPr>
        <w:t>-Vallés, 2009</w:t>
      </w:r>
      <w:r w:rsidR="000C3C83">
        <w:rPr>
          <w:rFonts w:ascii="Times New Roman" w:hAnsi="Times New Roman"/>
          <w:sz w:val="24"/>
          <w:szCs w:val="24"/>
        </w:rPr>
        <w:t>;</w:t>
      </w:r>
      <w:r w:rsidR="000C3C83" w:rsidRPr="00F806AF">
        <w:rPr>
          <w:rFonts w:ascii="Times New Roman" w:hAnsi="Times New Roman"/>
          <w:sz w:val="24"/>
          <w:szCs w:val="24"/>
        </w:rPr>
        <w:t xml:space="preserve"> </w:t>
      </w:r>
      <w:proofErr w:type="spellStart"/>
      <w:r w:rsidR="000C3C83" w:rsidRPr="007B1B79">
        <w:rPr>
          <w:rFonts w:ascii="Times New Roman" w:hAnsi="Times New Roman"/>
          <w:sz w:val="24"/>
          <w:szCs w:val="24"/>
        </w:rPr>
        <w:t>Fluit</w:t>
      </w:r>
      <w:proofErr w:type="spellEnd"/>
      <w:r w:rsidR="000C3C83" w:rsidRPr="007B1B79">
        <w:rPr>
          <w:rFonts w:ascii="Times New Roman" w:hAnsi="Times New Roman"/>
          <w:sz w:val="24"/>
          <w:szCs w:val="24"/>
        </w:rPr>
        <w:t xml:space="preserve"> </w:t>
      </w:r>
      <w:r w:rsidR="000C3C83" w:rsidRPr="00363AD3">
        <w:rPr>
          <w:rFonts w:ascii="Times New Roman" w:hAnsi="Times New Roman"/>
          <w:sz w:val="24"/>
          <w:szCs w:val="24"/>
        </w:rPr>
        <w:t>et al.</w:t>
      </w:r>
      <w:r w:rsidR="000C3C83" w:rsidRPr="007B1B79">
        <w:rPr>
          <w:rFonts w:ascii="Times New Roman" w:hAnsi="Times New Roman"/>
          <w:i/>
          <w:sz w:val="24"/>
          <w:szCs w:val="24"/>
        </w:rPr>
        <w:t>,</w:t>
      </w:r>
      <w:r w:rsidR="000C3C83">
        <w:rPr>
          <w:rFonts w:ascii="Times New Roman" w:hAnsi="Times New Roman"/>
          <w:sz w:val="24"/>
          <w:szCs w:val="24"/>
        </w:rPr>
        <w:t xml:space="preserve"> 2010</w:t>
      </w:r>
      <w:r w:rsidR="000C3C83" w:rsidRPr="007B1B79">
        <w:rPr>
          <w:rFonts w:ascii="Times New Roman" w:hAnsi="Times New Roman"/>
          <w:sz w:val="24"/>
          <w:szCs w:val="24"/>
        </w:rPr>
        <w:t>).</w:t>
      </w:r>
    </w:p>
    <w:p w14:paraId="7E70F201" w14:textId="28BA7394" w:rsidR="007E72AD" w:rsidRDefault="00F10F9B" w:rsidP="00DD794A">
      <w:pPr>
        <w:spacing w:before="120" w:after="120" w:line="240" w:lineRule="auto"/>
        <w:jc w:val="both"/>
        <w:rPr>
          <w:rFonts w:ascii="Times New Roman" w:hAnsi="Times New Roman"/>
          <w:sz w:val="24"/>
          <w:szCs w:val="24"/>
        </w:rPr>
      </w:pPr>
      <w:r>
        <w:rPr>
          <w:rFonts w:ascii="Times New Roman" w:hAnsi="Times New Roman"/>
          <w:sz w:val="24"/>
          <w:szCs w:val="24"/>
        </w:rPr>
        <w:tab/>
        <w:t xml:space="preserve">En síntesis, la supervisión clínica en medicina es una forma de docencia compleja, ya que el proceso didáctico no se limita a un contenido y un contexto, </w:t>
      </w:r>
      <w:r w:rsidR="00751866">
        <w:rPr>
          <w:rFonts w:ascii="Times New Roman" w:hAnsi="Times New Roman"/>
          <w:sz w:val="24"/>
          <w:szCs w:val="24"/>
        </w:rPr>
        <w:t>puesto</w:t>
      </w:r>
      <w:r>
        <w:rPr>
          <w:rFonts w:ascii="Times New Roman" w:hAnsi="Times New Roman"/>
          <w:sz w:val="24"/>
          <w:szCs w:val="24"/>
        </w:rPr>
        <w:t xml:space="preserve"> que el objeto de estudio está centrado en las necesidades de personas enfermas. </w:t>
      </w:r>
      <w:r w:rsidR="003C54F1">
        <w:rPr>
          <w:rFonts w:ascii="Times New Roman" w:hAnsi="Times New Roman"/>
          <w:sz w:val="24"/>
          <w:szCs w:val="24"/>
        </w:rPr>
        <w:t>Con base en la complejidad señalada</w:t>
      </w:r>
      <w:r w:rsidR="00760DF1">
        <w:rPr>
          <w:rFonts w:ascii="Times New Roman" w:hAnsi="Times New Roman"/>
          <w:sz w:val="24"/>
          <w:szCs w:val="24"/>
        </w:rPr>
        <w:t>,</w:t>
      </w:r>
      <w:r w:rsidR="003C54F1">
        <w:rPr>
          <w:rFonts w:ascii="Times New Roman" w:hAnsi="Times New Roman"/>
          <w:sz w:val="24"/>
          <w:szCs w:val="24"/>
        </w:rPr>
        <w:t xml:space="preserve"> se vuelve prioritaria la evaluación de la supervisión clínica en medicina, de tal manera que se promueva la reflexión sobre la propia práctica y la mejora constante de los desempeños de los supervisores.</w:t>
      </w:r>
      <w:r w:rsidR="003C54F1">
        <w:rPr>
          <w:rFonts w:ascii="Times New Roman" w:hAnsi="Times New Roman"/>
          <w:sz w:val="24"/>
          <w:szCs w:val="24"/>
        </w:rPr>
        <w:tab/>
        <w:t>Dicha evaluación debe ser contextualizada y desarrollada de manera sistemática para lograr que la información resultante sea útil.</w:t>
      </w:r>
    </w:p>
    <w:p w14:paraId="7E70F202" w14:textId="77777777" w:rsidR="007E72AD" w:rsidRDefault="004726E7" w:rsidP="00DD794A">
      <w:pPr>
        <w:spacing w:before="120" w:after="120" w:line="240" w:lineRule="auto"/>
        <w:ind w:firstLine="708"/>
        <w:jc w:val="both"/>
        <w:rPr>
          <w:rFonts w:ascii="Times New Roman" w:hAnsi="Times New Roman"/>
          <w:sz w:val="24"/>
          <w:szCs w:val="24"/>
        </w:rPr>
      </w:pPr>
      <w:r>
        <w:rPr>
          <w:rFonts w:ascii="Times New Roman" w:hAnsi="Times New Roman"/>
          <w:sz w:val="24"/>
          <w:szCs w:val="24"/>
        </w:rPr>
        <w:t>Se reconocen, al menos</w:t>
      </w:r>
      <w:r w:rsidR="007E72AD">
        <w:rPr>
          <w:rFonts w:ascii="Times New Roman" w:hAnsi="Times New Roman"/>
          <w:sz w:val="24"/>
          <w:szCs w:val="24"/>
        </w:rPr>
        <w:t xml:space="preserve"> tres estrategias de evaluación de la supervisión clínica: (i) la autoevaluación, (ii) el rendimiento académico de los estudiantes, y (iii) la evaluación con base en la opinión de los alumnos (Gómez, Rosales y Vázquez, 2014).</w:t>
      </w:r>
      <w:r w:rsidR="003B2706">
        <w:rPr>
          <w:rFonts w:ascii="Times New Roman" w:hAnsi="Times New Roman"/>
          <w:sz w:val="24"/>
          <w:szCs w:val="24"/>
        </w:rPr>
        <w:t xml:space="preserve"> La evaluación de la supervisión clínica con base en la opinión de los estudiantes suele ser la estrategia privilegiada a nivel internacional</w:t>
      </w:r>
      <w:r w:rsidR="00296CEC">
        <w:rPr>
          <w:rFonts w:ascii="Times New Roman" w:hAnsi="Times New Roman"/>
          <w:sz w:val="24"/>
          <w:szCs w:val="24"/>
        </w:rPr>
        <w:t>, de acuerdo con la literatura especializada.</w:t>
      </w:r>
    </w:p>
    <w:p w14:paraId="7E70F203" w14:textId="77777777" w:rsidR="00707D42" w:rsidRPr="00AB0274" w:rsidRDefault="00296CEC" w:rsidP="00DD794A">
      <w:pPr>
        <w:spacing w:before="120" w:after="120" w:line="240" w:lineRule="auto"/>
        <w:ind w:firstLine="708"/>
        <w:jc w:val="both"/>
        <w:rPr>
          <w:rFonts w:ascii="Times New Roman" w:hAnsi="Times New Roman" w:cs="Times New Roman"/>
          <w:sz w:val="24"/>
          <w:szCs w:val="24"/>
        </w:rPr>
      </w:pPr>
      <w:r>
        <w:rPr>
          <w:rFonts w:ascii="Times New Roman" w:hAnsi="Times New Roman"/>
          <w:sz w:val="24"/>
          <w:szCs w:val="24"/>
        </w:rPr>
        <w:t xml:space="preserve">A pesar de que se reconoce </w:t>
      </w:r>
      <w:r w:rsidR="004726E7">
        <w:rPr>
          <w:rFonts w:ascii="Times New Roman" w:hAnsi="Times New Roman"/>
          <w:sz w:val="24"/>
          <w:szCs w:val="24"/>
        </w:rPr>
        <w:t xml:space="preserve">que </w:t>
      </w:r>
      <w:r>
        <w:rPr>
          <w:rFonts w:ascii="Times New Roman" w:hAnsi="Times New Roman"/>
          <w:sz w:val="24"/>
          <w:szCs w:val="24"/>
        </w:rPr>
        <w:t>la evaluaci</w:t>
      </w:r>
      <w:r w:rsidR="004726E7">
        <w:rPr>
          <w:rFonts w:ascii="Times New Roman" w:hAnsi="Times New Roman"/>
          <w:sz w:val="24"/>
          <w:szCs w:val="24"/>
        </w:rPr>
        <w:t xml:space="preserve">ón de la supervisión clínica es </w:t>
      </w:r>
      <w:r>
        <w:rPr>
          <w:rFonts w:ascii="Times New Roman" w:hAnsi="Times New Roman"/>
          <w:sz w:val="24"/>
          <w:szCs w:val="24"/>
        </w:rPr>
        <w:t>un proceso obligatorio</w:t>
      </w:r>
      <w:r w:rsidR="00707D42">
        <w:rPr>
          <w:rFonts w:ascii="Times New Roman" w:hAnsi="Times New Roman"/>
          <w:sz w:val="24"/>
          <w:szCs w:val="24"/>
        </w:rPr>
        <w:t xml:space="preserve"> y fundamental para mejorar este tipo de</w:t>
      </w:r>
      <w:r>
        <w:rPr>
          <w:rFonts w:ascii="Times New Roman" w:hAnsi="Times New Roman"/>
          <w:sz w:val="24"/>
          <w:szCs w:val="24"/>
        </w:rPr>
        <w:t xml:space="preserve"> práctica docente, en la literatura analizada se detectó </w:t>
      </w:r>
      <w:r w:rsidR="00707D42">
        <w:rPr>
          <w:rFonts w:ascii="Times New Roman" w:hAnsi="Times New Roman"/>
          <w:sz w:val="24"/>
          <w:szCs w:val="24"/>
        </w:rPr>
        <w:t xml:space="preserve">insuficiencia de desarrollo teórico y, sobre todo, evidencia empírica; esto es, a diferencia de lo que sucede en las actividades áulicas, es poca la evidencia empírica que describa cómo se enseña en el ambiente clínico en atención directa a pacientes </w:t>
      </w:r>
      <w:r w:rsidR="00707D42">
        <w:rPr>
          <w:rFonts w:ascii="Times New Roman" w:hAnsi="Times New Roman"/>
          <w:sz w:val="24"/>
          <w:szCs w:val="24"/>
        </w:rPr>
        <w:lastRenderedPageBreak/>
        <w:t>y, principalmente, cómo se evalúa a los supervisores clínicos en medicina (</w:t>
      </w:r>
      <w:proofErr w:type="spellStart"/>
      <w:r w:rsidR="00707D42">
        <w:rPr>
          <w:rFonts w:ascii="Times New Roman" w:hAnsi="Times New Roman"/>
          <w:sz w:val="24"/>
          <w:szCs w:val="24"/>
        </w:rPr>
        <w:t>Fluit</w:t>
      </w:r>
      <w:proofErr w:type="spellEnd"/>
      <w:r w:rsidR="008314F1">
        <w:rPr>
          <w:rFonts w:ascii="Times New Roman" w:hAnsi="Times New Roman"/>
          <w:sz w:val="24"/>
          <w:szCs w:val="24"/>
        </w:rPr>
        <w:t xml:space="preserve"> et al., 2010; Gómez, Rosales y Vázquez, 2014). </w:t>
      </w:r>
      <w:r w:rsidR="00707D42">
        <w:rPr>
          <w:rFonts w:ascii="Times New Roman" w:hAnsi="Times New Roman"/>
          <w:sz w:val="24"/>
          <w:szCs w:val="24"/>
        </w:rPr>
        <w:t xml:space="preserve"> </w:t>
      </w:r>
    </w:p>
    <w:p w14:paraId="7E70F204" w14:textId="77777777" w:rsidR="004726E7" w:rsidRDefault="004726E7" w:rsidP="00DD794A">
      <w:pPr>
        <w:spacing w:before="120" w:after="120" w:line="240" w:lineRule="auto"/>
        <w:ind w:firstLine="708"/>
        <w:jc w:val="both"/>
        <w:rPr>
          <w:rFonts w:ascii="Times New Roman" w:hAnsi="Times New Roman"/>
          <w:sz w:val="24"/>
          <w:szCs w:val="24"/>
        </w:rPr>
      </w:pPr>
      <w:r>
        <w:rPr>
          <w:rFonts w:ascii="Times New Roman" w:hAnsi="Times New Roman"/>
          <w:sz w:val="24"/>
          <w:szCs w:val="24"/>
        </w:rPr>
        <w:t>Esta situación identificada en la literatura es consistente con el</w:t>
      </w:r>
      <w:r w:rsidR="00760DF1">
        <w:rPr>
          <w:rFonts w:ascii="Times New Roman" w:hAnsi="Times New Roman"/>
          <w:sz w:val="24"/>
          <w:szCs w:val="24"/>
        </w:rPr>
        <w:t xml:space="preserve"> caso particular de </w:t>
      </w:r>
      <w:r w:rsidR="00A44E55">
        <w:rPr>
          <w:rFonts w:ascii="Times New Roman" w:hAnsi="Times New Roman"/>
          <w:sz w:val="24"/>
          <w:szCs w:val="24"/>
        </w:rPr>
        <w:t>la Universidad Autónoma de Baja California</w:t>
      </w:r>
      <w:r>
        <w:rPr>
          <w:rFonts w:ascii="Times New Roman" w:hAnsi="Times New Roman"/>
          <w:sz w:val="24"/>
          <w:szCs w:val="24"/>
        </w:rPr>
        <w:t xml:space="preserve">, esto se debe a que </w:t>
      </w:r>
      <w:r w:rsidR="00760DF1">
        <w:rPr>
          <w:rFonts w:ascii="Times New Roman" w:hAnsi="Times New Roman"/>
          <w:sz w:val="24"/>
          <w:szCs w:val="24"/>
        </w:rPr>
        <w:t xml:space="preserve">existe escasa evidencia documentada de la finalidad, el objeto y los métodos utilizados para evaluar a los supervisores clínicos en la licenciatura en medicina que oferta dicha institución. </w:t>
      </w:r>
    </w:p>
    <w:p w14:paraId="7E70F205" w14:textId="77777777" w:rsidR="00760DF1" w:rsidRDefault="00760DF1" w:rsidP="00DD794A">
      <w:pPr>
        <w:spacing w:before="120" w:after="120" w:line="240" w:lineRule="auto"/>
        <w:ind w:firstLine="708"/>
        <w:jc w:val="both"/>
        <w:rPr>
          <w:rFonts w:ascii="Times New Roman" w:hAnsi="Times New Roman"/>
          <w:sz w:val="24"/>
          <w:szCs w:val="24"/>
        </w:rPr>
      </w:pPr>
      <w:r>
        <w:rPr>
          <w:rFonts w:ascii="Times New Roman" w:hAnsi="Times New Roman"/>
          <w:sz w:val="24"/>
          <w:szCs w:val="24"/>
        </w:rPr>
        <w:t>El objetivo de este artículo es reportar el proce</w:t>
      </w:r>
      <w:r w:rsidR="00FE1C4C">
        <w:rPr>
          <w:rFonts w:ascii="Times New Roman" w:hAnsi="Times New Roman"/>
          <w:sz w:val="24"/>
          <w:szCs w:val="24"/>
        </w:rPr>
        <w:t xml:space="preserve">so de investigación que permitió </w:t>
      </w:r>
      <w:r>
        <w:rPr>
          <w:rFonts w:ascii="Times New Roman" w:hAnsi="Times New Roman"/>
          <w:sz w:val="24"/>
          <w:szCs w:val="24"/>
        </w:rPr>
        <w:t xml:space="preserve">desarrollar un cuestionario de evaluación formativa de la supervisión clínica </w:t>
      </w:r>
      <w:r w:rsidR="004726E7">
        <w:rPr>
          <w:rFonts w:ascii="Times New Roman" w:hAnsi="Times New Roman"/>
          <w:sz w:val="24"/>
          <w:szCs w:val="24"/>
        </w:rPr>
        <w:t xml:space="preserve">en la Licenciatura en Medicina de la Universidad Autónoma de Baja California </w:t>
      </w:r>
      <w:r>
        <w:rPr>
          <w:rFonts w:ascii="Times New Roman" w:hAnsi="Times New Roman"/>
          <w:sz w:val="24"/>
          <w:szCs w:val="24"/>
        </w:rPr>
        <w:t xml:space="preserve">con base en la </w:t>
      </w:r>
      <w:r w:rsidR="009F7B1A">
        <w:rPr>
          <w:rFonts w:ascii="Times New Roman" w:hAnsi="Times New Roman"/>
          <w:sz w:val="24"/>
          <w:szCs w:val="24"/>
        </w:rPr>
        <w:t>opinión de</w:t>
      </w:r>
      <w:r>
        <w:rPr>
          <w:rFonts w:ascii="Times New Roman" w:hAnsi="Times New Roman"/>
          <w:sz w:val="24"/>
          <w:szCs w:val="24"/>
        </w:rPr>
        <w:t xml:space="preserve"> los estudiantes.</w:t>
      </w:r>
      <w:r w:rsidR="004726E7">
        <w:rPr>
          <w:rFonts w:ascii="Times New Roman" w:hAnsi="Times New Roman"/>
          <w:sz w:val="24"/>
          <w:szCs w:val="24"/>
        </w:rPr>
        <w:t xml:space="preserve"> Esta investigación tuvo una duración de tres años.</w:t>
      </w:r>
    </w:p>
    <w:p w14:paraId="7E70F206" w14:textId="77777777" w:rsidR="005004D0" w:rsidRPr="00A22C1E" w:rsidRDefault="005004D0" w:rsidP="00DD794A">
      <w:pPr>
        <w:autoSpaceDE w:val="0"/>
        <w:autoSpaceDN w:val="0"/>
        <w:adjustRightInd w:val="0"/>
        <w:spacing w:before="120" w:after="120" w:line="240" w:lineRule="auto"/>
        <w:jc w:val="both"/>
        <w:rPr>
          <w:rFonts w:ascii="Times New Roman" w:hAnsi="Times New Roman" w:cs="Times New Roman"/>
          <w:sz w:val="24"/>
          <w:szCs w:val="24"/>
          <w:shd w:val="clear" w:color="auto" w:fill="FFFFFF"/>
        </w:rPr>
      </w:pPr>
      <w:r w:rsidRPr="00AB0274">
        <w:rPr>
          <w:rFonts w:ascii="Times New Roman" w:hAnsi="Times New Roman" w:cs="Times New Roman"/>
          <w:b/>
          <w:sz w:val="24"/>
          <w:szCs w:val="24"/>
        </w:rPr>
        <w:t>Método</w:t>
      </w:r>
    </w:p>
    <w:p w14:paraId="7E70F207" w14:textId="77777777" w:rsidR="00A22C1E" w:rsidRDefault="005004D0" w:rsidP="00DD794A">
      <w:pPr>
        <w:spacing w:before="120" w:after="120" w:line="240" w:lineRule="auto"/>
        <w:ind w:firstLine="708"/>
        <w:jc w:val="both"/>
        <w:rPr>
          <w:rFonts w:ascii="Times New Roman" w:hAnsi="Times New Roman" w:cs="Times New Roman"/>
          <w:sz w:val="24"/>
          <w:szCs w:val="24"/>
        </w:rPr>
      </w:pPr>
      <w:r w:rsidRPr="00AB0274">
        <w:rPr>
          <w:rFonts w:ascii="Times New Roman" w:hAnsi="Times New Roman" w:cs="Times New Roman"/>
          <w:sz w:val="24"/>
          <w:szCs w:val="24"/>
        </w:rPr>
        <w:t xml:space="preserve">El trabajo se dividió en tres estudios: un estudio exploratorio que persiguió la caracterización del contexto de la supervisión clínica, un segundo estudio de diseño del cuestionario y un tercer estudio de generación de evidencias de validez y </w:t>
      </w:r>
      <w:r w:rsidR="009032AA">
        <w:rPr>
          <w:rFonts w:ascii="Times New Roman" w:hAnsi="Times New Roman" w:cs="Times New Roman"/>
          <w:sz w:val="24"/>
          <w:szCs w:val="24"/>
        </w:rPr>
        <w:t>fiabilidad</w:t>
      </w:r>
      <w:r w:rsidRPr="00AB0274">
        <w:rPr>
          <w:rFonts w:ascii="Times New Roman" w:hAnsi="Times New Roman" w:cs="Times New Roman"/>
          <w:sz w:val="24"/>
          <w:szCs w:val="24"/>
        </w:rPr>
        <w:t xml:space="preserve"> de las interpretaciones producto de las mediciones. Esta división se debió a la necesidad de organizar lógicamente la investigación, lo que permitió profundizar en cada una de las etapas que obedecían a propósitos particulares y destacar los hallazgos de cada una.</w:t>
      </w:r>
    </w:p>
    <w:p w14:paraId="7E70F208" w14:textId="77777777" w:rsidR="005004D0" w:rsidRPr="00A22C1E" w:rsidRDefault="005004D0" w:rsidP="00DD794A">
      <w:pPr>
        <w:spacing w:before="120" w:after="120" w:line="240" w:lineRule="auto"/>
        <w:ind w:firstLine="708"/>
        <w:jc w:val="both"/>
        <w:rPr>
          <w:rFonts w:ascii="Times New Roman" w:hAnsi="Times New Roman" w:cs="Times New Roman"/>
          <w:sz w:val="24"/>
          <w:szCs w:val="24"/>
        </w:rPr>
      </w:pPr>
      <w:r w:rsidRPr="00AB0274">
        <w:rPr>
          <w:rFonts w:ascii="Times New Roman" w:hAnsi="Times New Roman" w:cs="Times New Roman"/>
          <w:b/>
          <w:sz w:val="24"/>
          <w:szCs w:val="24"/>
        </w:rPr>
        <w:t>Estudio 1. Exploración del contexto</w:t>
      </w:r>
    </w:p>
    <w:p w14:paraId="7E70F209" w14:textId="77777777" w:rsidR="005004D0" w:rsidRPr="00AB0274" w:rsidRDefault="005004D0" w:rsidP="00DD794A">
      <w:pPr>
        <w:pStyle w:val="Prrafodelista1"/>
        <w:spacing w:before="120" w:after="120" w:line="240" w:lineRule="auto"/>
        <w:ind w:left="0" w:firstLine="708"/>
        <w:jc w:val="both"/>
        <w:rPr>
          <w:rFonts w:ascii="Times New Roman" w:hAnsi="Times New Roman"/>
          <w:sz w:val="24"/>
          <w:szCs w:val="24"/>
        </w:rPr>
      </w:pPr>
      <w:r w:rsidRPr="00AB0274">
        <w:rPr>
          <w:rFonts w:ascii="Times New Roman" w:hAnsi="Times New Roman"/>
          <w:sz w:val="24"/>
          <w:szCs w:val="24"/>
        </w:rPr>
        <w:t xml:space="preserve">Para lograr caracterizar la supervisión clínica en la Licenciatura en Medicina de </w:t>
      </w:r>
      <w:r w:rsidR="00A44E55">
        <w:rPr>
          <w:rFonts w:ascii="Times New Roman" w:hAnsi="Times New Roman"/>
          <w:sz w:val="24"/>
          <w:szCs w:val="24"/>
        </w:rPr>
        <w:t>la Universidad Autónoma de Baja California en</w:t>
      </w:r>
      <w:r w:rsidRPr="00AB0274">
        <w:rPr>
          <w:rFonts w:ascii="Times New Roman" w:hAnsi="Times New Roman"/>
          <w:sz w:val="24"/>
          <w:szCs w:val="24"/>
        </w:rPr>
        <w:t xml:space="preserve"> México, se analizó el contexto normativo del programa educativo en cuestión y se consultó a expertos en el área. La descripción de los participantes, materiales y procedimiento se presentan a continuación.  </w:t>
      </w:r>
    </w:p>
    <w:p w14:paraId="7E70F20A" w14:textId="77777777" w:rsidR="005004D0" w:rsidRPr="009032AA" w:rsidRDefault="005004D0" w:rsidP="00DD794A">
      <w:pPr>
        <w:spacing w:before="120" w:after="120" w:line="240" w:lineRule="auto"/>
        <w:ind w:firstLine="708"/>
        <w:jc w:val="both"/>
        <w:rPr>
          <w:rFonts w:ascii="Times New Roman" w:hAnsi="Times New Roman" w:cs="Times New Roman"/>
          <w:b/>
          <w:i/>
          <w:sz w:val="24"/>
          <w:szCs w:val="24"/>
        </w:rPr>
      </w:pPr>
      <w:r w:rsidRPr="009032AA">
        <w:rPr>
          <w:rFonts w:ascii="Times New Roman" w:hAnsi="Times New Roman" w:cs="Times New Roman"/>
          <w:b/>
          <w:i/>
          <w:sz w:val="24"/>
          <w:szCs w:val="24"/>
        </w:rPr>
        <w:t>Informantes clave</w:t>
      </w:r>
    </w:p>
    <w:p w14:paraId="7E70F20B" w14:textId="77777777" w:rsidR="009032AA" w:rsidRDefault="005004D0" w:rsidP="00DD794A">
      <w:pPr>
        <w:spacing w:before="120" w:after="120" w:line="240" w:lineRule="auto"/>
        <w:ind w:firstLine="708"/>
        <w:jc w:val="both"/>
        <w:rPr>
          <w:rFonts w:ascii="Times New Roman" w:hAnsi="Times New Roman" w:cs="Times New Roman"/>
          <w:sz w:val="24"/>
          <w:szCs w:val="24"/>
        </w:rPr>
      </w:pPr>
      <w:r w:rsidRPr="00AB0274">
        <w:rPr>
          <w:rFonts w:ascii="Times New Roman" w:hAnsi="Times New Roman" w:cs="Times New Roman"/>
          <w:sz w:val="24"/>
          <w:szCs w:val="24"/>
        </w:rPr>
        <w:t>Se entrevistó a un grupo de seis supervisores clínicos de medicina que colaboran en la Universidad estudiada y en las instituciones de salud sede que reciben a estudiantes de la Licenciatura en Medicina en las etapas clínicas. Los informantes clave se identificaron de acuerdo con tres criterios: (i) supervisores que se desempeñen en actividades docentes en campos clínicos de la medicina; (ii) experiencia igual o mayor que cinco años como supervisor clínico en medicina; (iii) no se consideraron como criterios de selección el género, la edad o el estatus económico.</w:t>
      </w:r>
    </w:p>
    <w:p w14:paraId="7E70F20C" w14:textId="77777777" w:rsidR="005004D0" w:rsidRPr="009032AA" w:rsidRDefault="005004D0" w:rsidP="00DD794A">
      <w:pPr>
        <w:spacing w:before="120" w:after="120" w:line="240" w:lineRule="auto"/>
        <w:ind w:firstLine="708"/>
        <w:jc w:val="both"/>
        <w:rPr>
          <w:rFonts w:ascii="Times New Roman" w:hAnsi="Times New Roman" w:cs="Times New Roman"/>
          <w:sz w:val="24"/>
          <w:szCs w:val="24"/>
        </w:rPr>
      </w:pPr>
      <w:r w:rsidRPr="009032AA">
        <w:rPr>
          <w:rFonts w:ascii="Times New Roman" w:hAnsi="Times New Roman" w:cs="Times New Roman"/>
          <w:b/>
          <w:i/>
          <w:sz w:val="24"/>
          <w:szCs w:val="24"/>
        </w:rPr>
        <w:t>Materiales</w:t>
      </w:r>
    </w:p>
    <w:p w14:paraId="7E70F20D" w14:textId="77777777" w:rsidR="005004D0" w:rsidRDefault="005004D0" w:rsidP="00DD794A">
      <w:pPr>
        <w:spacing w:before="120" w:after="120" w:line="240" w:lineRule="auto"/>
        <w:ind w:firstLine="708"/>
        <w:jc w:val="both"/>
        <w:rPr>
          <w:rFonts w:ascii="Times New Roman" w:hAnsi="Times New Roman" w:cs="Times New Roman"/>
          <w:sz w:val="24"/>
          <w:szCs w:val="24"/>
        </w:rPr>
      </w:pPr>
      <w:r w:rsidRPr="00AB0274">
        <w:rPr>
          <w:rFonts w:ascii="Times New Roman" w:hAnsi="Times New Roman" w:cs="Times New Roman"/>
          <w:sz w:val="24"/>
          <w:szCs w:val="24"/>
        </w:rPr>
        <w:t>Se utilizó una guía de entrevista con una pregunta general sobre las características de la supervisión clínica en medicina y cuatro preguntas específicas sobre la planificación, el proceso didáctico, la evaluación y los principales problemas que enfrentan los supervisores clínicos en su labor.</w:t>
      </w:r>
    </w:p>
    <w:p w14:paraId="7E70F20E" w14:textId="77777777" w:rsidR="005004D0" w:rsidRPr="009032AA" w:rsidRDefault="005004D0" w:rsidP="00DD794A">
      <w:pPr>
        <w:spacing w:before="120" w:after="120" w:line="240" w:lineRule="auto"/>
        <w:ind w:firstLine="708"/>
        <w:jc w:val="both"/>
        <w:rPr>
          <w:rFonts w:ascii="Times New Roman" w:hAnsi="Times New Roman" w:cs="Times New Roman"/>
          <w:b/>
          <w:i/>
          <w:sz w:val="24"/>
          <w:szCs w:val="24"/>
        </w:rPr>
      </w:pPr>
      <w:r w:rsidRPr="009032AA">
        <w:rPr>
          <w:rFonts w:ascii="Times New Roman" w:hAnsi="Times New Roman" w:cs="Times New Roman"/>
          <w:b/>
          <w:i/>
          <w:sz w:val="24"/>
          <w:szCs w:val="24"/>
        </w:rPr>
        <w:t>Procedimiento</w:t>
      </w:r>
    </w:p>
    <w:p w14:paraId="7E70F20F" w14:textId="77777777" w:rsidR="005004D0" w:rsidRPr="00AB0274" w:rsidRDefault="005004D0" w:rsidP="00DD794A">
      <w:pPr>
        <w:spacing w:before="120" w:after="120" w:line="240" w:lineRule="auto"/>
        <w:ind w:firstLine="708"/>
        <w:jc w:val="both"/>
        <w:rPr>
          <w:rFonts w:ascii="Times New Roman" w:hAnsi="Times New Roman" w:cs="Times New Roman"/>
          <w:sz w:val="24"/>
          <w:szCs w:val="24"/>
        </w:rPr>
      </w:pPr>
      <w:r w:rsidRPr="00AB0274">
        <w:rPr>
          <w:rFonts w:ascii="Times New Roman" w:hAnsi="Times New Roman" w:cs="Times New Roman"/>
          <w:sz w:val="24"/>
          <w:szCs w:val="24"/>
        </w:rPr>
        <w:t>La exploración se desarrolló en dos fases: un análisis documental de la normatividad de la supervisión clínica y una etapa empírica de consulta a los supervisores. En la primera fase se analizó el plan de estudios de la Licenciatura en Medicina, se recuperó la información que permitiera entender cómo se enseña en los campos clínicos y cómo se evalúa a los supervisores.</w:t>
      </w:r>
    </w:p>
    <w:p w14:paraId="7E70F210" w14:textId="77777777" w:rsidR="005004D0" w:rsidRPr="00AB0274" w:rsidRDefault="005004D0" w:rsidP="00DD794A">
      <w:pPr>
        <w:spacing w:before="120" w:after="120" w:line="240" w:lineRule="auto"/>
        <w:ind w:firstLine="708"/>
        <w:jc w:val="both"/>
        <w:rPr>
          <w:rFonts w:ascii="Times New Roman" w:hAnsi="Times New Roman" w:cs="Times New Roman"/>
          <w:sz w:val="24"/>
          <w:szCs w:val="24"/>
        </w:rPr>
      </w:pPr>
      <w:r w:rsidRPr="00AB0274">
        <w:rPr>
          <w:rFonts w:ascii="Times New Roman" w:hAnsi="Times New Roman" w:cs="Times New Roman"/>
          <w:sz w:val="24"/>
          <w:szCs w:val="24"/>
        </w:rPr>
        <w:lastRenderedPageBreak/>
        <w:t>En la segunda fase se entrevistó a un grupo de seis médicos que se desempeñ</w:t>
      </w:r>
      <w:r w:rsidR="00443C60" w:rsidRPr="00AB0274">
        <w:rPr>
          <w:rFonts w:ascii="Times New Roman" w:hAnsi="Times New Roman" w:cs="Times New Roman"/>
          <w:sz w:val="24"/>
          <w:szCs w:val="24"/>
        </w:rPr>
        <w:t xml:space="preserve">an como supervisores clínicos. </w:t>
      </w:r>
      <w:r w:rsidRPr="00AB0274">
        <w:rPr>
          <w:rFonts w:ascii="Times New Roman" w:hAnsi="Times New Roman" w:cs="Times New Roman"/>
          <w:sz w:val="24"/>
          <w:szCs w:val="24"/>
        </w:rPr>
        <w:t>La información se registró mediante grabaciones de audio, para posteriormente transcribirlas y analizarlas mediante la técnica de análisis del contenido. El análisis de contenido llevado a cabo con las transcripciones de las entrevistas fue de tipo inductivo, esto es, en función de la información que emergía de los informantes se fueron generando códigos y categorías. La</w:t>
      </w:r>
      <w:r w:rsidR="00443C60" w:rsidRPr="00AB0274">
        <w:rPr>
          <w:rFonts w:ascii="Times New Roman" w:hAnsi="Times New Roman" w:cs="Times New Roman"/>
          <w:sz w:val="24"/>
          <w:szCs w:val="24"/>
        </w:rPr>
        <w:t xml:space="preserve"> categorización fue un proceso </w:t>
      </w:r>
      <w:r w:rsidRPr="00AB0274">
        <w:rPr>
          <w:rFonts w:ascii="Times New Roman" w:hAnsi="Times New Roman" w:cs="Times New Roman"/>
          <w:sz w:val="24"/>
          <w:szCs w:val="24"/>
        </w:rPr>
        <w:t>que se desarrolló en cuatro fases: (i) el autor de este trabajo y un lector externo codificaron las transcripciones de las entrevistas; (ii) posteriormente se discutieron las diferencias de códigos y se acordaron los códigos finales; (iii) se construyeron categorías de análisis; y (iv) finalmente se redactaron las inferencias inductivas.</w:t>
      </w:r>
    </w:p>
    <w:p w14:paraId="7E70F211" w14:textId="77777777" w:rsidR="005004D0" w:rsidRPr="00AB0274" w:rsidRDefault="005004D0" w:rsidP="00DD794A">
      <w:pPr>
        <w:spacing w:before="120" w:after="120" w:line="240" w:lineRule="auto"/>
        <w:ind w:firstLine="708"/>
        <w:jc w:val="both"/>
        <w:rPr>
          <w:rFonts w:ascii="Times New Roman" w:hAnsi="Times New Roman" w:cs="Times New Roman"/>
          <w:b/>
          <w:sz w:val="24"/>
          <w:szCs w:val="24"/>
        </w:rPr>
      </w:pPr>
      <w:r w:rsidRPr="00AB0274">
        <w:rPr>
          <w:rFonts w:ascii="Times New Roman" w:hAnsi="Times New Roman" w:cs="Times New Roman"/>
          <w:b/>
          <w:sz w:val="24"/>
          <w:szCs w:val="24"/>
        </w:rPr>
        <w:t>Estudio 2.</w:t>
      </w:r>
      <w:r w:rsidRPr="00AB0274">
        <w:rPr>
          <w:rFonts w:ascii="Times New Roman" w:hAnsi="Times New Roman" w:cs="Times New Roman"/>
          <w:sz w:val="24"/>
          <w:szCs w:val="24"/>
        </w:rPr>
        <w:t xml:space="preserve"> </w:t>
      </w:r>
      <w:r w:rsidRPr="00AB0274">
        <w:rPr>
          <w:rFonts w:ascii="Times New Roman" w:hAnsi="Times New Roman" w:cs="Times New Roman"/>
          <w:b/>
          <w:sz w:val="24"/>
          <w:szCs w:val="24"/>
        </w:rPr>
        <w:t>Diseño del cuestionario de evaluación</w:t>
      </w:r>
    </w:p>
    <w:p w14:paraId="7E70F212" w14:textId="77777777" w:rsidR="005004D0" w:rsidRPr="00AB0274" w:rsidRDefault="005004D0" w:rsidP="00DD794A">
      <w:pPr>
        <w:spacing w:before="120" w:after="120" w:line="240" w:lineRule="auto"/>
        <w:ind w:firstLine="708"/>
        <w:jc w:val="both"/>
        <w:rPr>
          <w:rFonts w:ascii="Times New Roman" w:hAnsi="Times New Roman" w:cs="Times New Roman"/>
          <w:sz w:val="24"/>
          <w:szCs w:val="24"/>
        </w:rPr>
      </w:pPr>
      <w:r w:rsidRPr="00AB0274">
        <w:rPr>
          <w:rFonts w:ascii="Times New Roman" w:hAnsi="Times New Roman" w:cs="Times New Roman"/>
          <w:sz w:val="24"/>
          <w:szCs w:val="24"/>
        </w:rPr>
        <w:t>El segundo estudio se desarrolló con el propósito de responder a la pregunta ¿cuáles son los elementos esenciales que se deben de considerar para evaluar las competencias de los supervisores clínicos en medicina con base en la opinión de los estudiantes?</w:t>
      </w:r>
    </w:p>
    <w:p w14:paraId="7E70F213" w14:textId="77777777" w:rsidR="003463A8" w:rsidRPr="009032AA" w:rsidRDefault="003463A8" w:rsidP="00DD794A">
      <w:pPr>
        <w:spacing w:before="120" w:after="120" w:line="240" w:lineRule="auto"/>
        <w:ind w:firstLine="708"/>
        <w:jc w:val="both"/>
        <w:rPr>
          <w:rFonts w:ascii="Times New Roman" w:hAnsi="Times New Roman" w:cs="Times New Roman"/>
          <w:b/>
          <w:i/>
          <w:sz w:val="24"/>
          <w:szCs w:val="24"/>
        </w:rPr>
      </w:pPr>
      <w:r w:rsidRPr="009032AA">
        <w:rPr>
          <w:rFonts w:ascii="Times New Roman" w:hAnsi="Times New Roman" w:cs="Times New Roman"/>
          <w:b/>
          <w:i/>
          <w:sz w:val="24"/>
          <w:szCs w:val="24"/>
        </w:rPr>
        <w:t>Participantes</w:t>
      </w:r>
    </w:p>
    <w:p w14:paraId="7E70F214" w14:textId="77777777" w:rsidR="003463A8" w:rsidRPr="00AB0274" w:rsidRDefault="003463A8" w:rsidP="00DD794A">
      <w:pPr>
        <w:spacing w:before="120" w:after="120" w:line="240" w:lineRule="auto"/>
        <w:ind w:firstLine="708"/>
        <w:jc w:val="both"/>
        <w:rPr>
          <w:rFonts w:ascii="Times New Roman" w:hAnsi="Times New Roman" w:cs="Times New Roman"/>
          <w:sz w:val="24"/>
          <w:szCs w:val="24"/>
        </w:rPr>
      </w:pPr>
      <w:r w:rsidRPr="00AB0274">
        <w:rPr>
          <w:rFonts w:ascii="Times New Roman" w:hAnsi="Times New Roman" w:cs="Times New Roman"/>
          <w:sz w:val="24"/>
          <w:szCs w:val="24"/>
        </w:rPr>
        <w:t xml:space="preserve">Se recurrió a tres grupos de </w:t>
      </w:r>
      <w:r w:rsidR="002C7F1B" w:rsidRPr="00AB0274">
        <w:rPr>
          <w:rFonts w:ascii="Times New Roman" w:hAnsi="Times New Roman" w:cs="Times New Roman"/>
          <w:sz w:val="24"/>
          <w:szCs w:val="24"/>
        </w:rPr>
        <w:t xml:space="preserve">personas </w:t>
      </w:r>
      <w:r w:rsidRPr="00AB0274">
        <w:rPr>
          <w:rFonts w:ascii="Times New Roman" w:hAnsi="Times New Roman" w:cs="Times New Roman"/>
          <w:sz w:val="24"/>
          <w:szCs w:val="24"/>
        </w:rPr>
        <w:t xml:space="preserve">y una participante individual en diferentes momentos del proceso: </w:t>
      </w:r>
      <w:r w:rsidR="002C7F1B" w:rsidRPr="00AB0274">
        <w:rPr>
          <w:rFonts w:ascii="Times New Roman" w:hAnsi="Times New Roman" w:cs="Times New Roman"/>
          <w:sz w:val="24"/>
          <w:szCs w:val="24"/>
        </w:rPr>
        <w:t xml:space="preserve">(i) </w:t>
      </w:r>
      <w:r w:rsidRPr="00AB0274">
        <w:rPr>
          <w:rFonts w:ascii="Times New Roman" w:hAnsi="Times New Roman" w:cs="Times New Roman"/>
          <w:sz w:val="24"/>
          <w:szCs w:val="24"/>
        </w:rPr>
        <w:t xml:space="preserve">un grupo de expertos de la supervisión clínica de la medicina de </w:t>
      </w:r>
      <w:r w:rsidR="00A44E55">
        <w:rPr>
          <w:rFonts w:ascii="Times New Roman" w:hAnsi="Times New Roman" w:cs="Times New Roman"/>
          <w:sz w:val="24"/>
          <w:szCs w:val="24"/>
        </w:rPr>
        <w:t xml:space="preserve">la </w:t>
      </w:r>
      <w:r w:rsidR="00A44E55">
        <w:rPr>
          <w:rFonts w:ascii="Times New Roman" w:hAnsi="Times New Roman"/>
          <w:sz w:val="24"/>
          <w:szCs w:val="24"/>
        </w:rPr>
        <w:t>Universidad Autónoma de Baja California</w:t>
      </w:r>
      <w:r w:rsidR="002C7F1B" w:rsidRPr="00AB0274">
        <w:rPr>
          <w:rFonts w:ascii="Times New Roman" w:hAnsi="Times New Roman" w:cs="Times New Roman"/>
          <w:sz w:val="24"/>
          <w:szCs w:val="24"/>
        </w:rPr>
        <w:t>, quienes</w:t>
      </w:r>
      <w:r w:rsidRPr="00AB0274">
        <w:rPr>
          <w:rFonts w:ascii="Times New Roman" w:hAnsi="Times New Roman" w:cs="Times New Roman"/>
          <w:sz w:val="24"/>
          <w:szCs w:val="24"/>
        </w:rPr>
        <w:t xml:space="preserve"> validar</w:t>
      </w:r>
      <w:r w:rsidR="002C7F1B" w:rsidRPr="00AB0274">
        <w:rPr>
          <w:rFonts w:ascii="Times New Roman" w:hAnsi="Times New Roman" w:cs="Times New Roman"/>
          <w:sz w:val="24"/>
          <w:szCs w:val="24"/>
        </w:rPr>
        <w:t>on</w:t>
      </w:r>
      <w:r w:rsidRPr="00AB0274">
        <w:rPr>
          <w:rFonts w:ascii="Times New Roman" w:hAnsi="Times New Roman" w:cs="Times New Roman"/>
          <w:sz w:val="24"/>
          <w:szCs w:val="24"/>
        </w:rPr>
        <w:t xml:space="preserve"> la matriz de </w:t>
      </w:r>
      <w:r w:rsidR="002E4DF9">
        <w:rPr>
          <w:rFonts w:ascii="Times New Roman" w:hAnsi="Times New Roman" w:cs="Times New Roman"/>
          <w:sz w:val="24"/>
          <w:szCs w:val="24"/>
        </w:rPr>
        <w:t>especificación</w:t>
      </w:r>
      <w:r w:rsidRPr="00AB0274">
        <w:rPr>
          <w:rFonts w:ascii="Times New Roman" w:hAnsi="Times New Roman" w:cs="Times New Roman"/>
          <w:sz w:val="24"/>
          <w:szCs w:val="24"/>
        </w:rPr>
        <w:t xml:space="preserve"> del cuestionario</w:t>
      </w:r>
      <w:r w:rsidR="002C7F1B" w:rsidRPr="00AB0274">
        <w:rPr>
          <w:rFonts w:ascii="Times New Roman" w:hAnsi="Times New Roman" w:cs="Times New Roman"/>
          <w:sz w:val="24"/>
          <w:szCs w:val="24"/>
        </w:rPr>
        <w:t xml:space="preserve"> diseñado</w:t>
      </w:r>
      <w:r w:rsidRPr="00AB0274">
        <w:rPr>
          <w:rFonts w:ascii="Times New Roman" w:hAnsi="Times New Roman" w:cs="Times New Roman"/>
          <w:sz w:val="24"/>
          <w:szCs w:val="24"/>
        </w:rPr>
        <w:t xml:space="preserve">; </w:t>
      </w:r>
      <w:r w:rsidR="002C7F1B" w:rsidRPr="00AB0274">
        <w:rPr>
          <w:rFonts w:ascii="Times New Roman" w:hAnsi="Times New Roman" w:cs="Times New Roman"/>
          <w:sz w:val="24"/>
          <w:szCs w:val="24"/>
        </w:rPr>
        <w:t xml:space="preserve">(ii) </w:t>
      </w:r>
      <w:r w:rsidRPr="00AB0274">
        <w:rPr>
          <w:rFonts w:ascii="Times New Roman" w:hAnsi="Times New Roman" w:cs="Times New Roman"/>
          <w:sz w:val="24"/>
          <w:szCs w:val="24"/>
        </w:rPr>
        <w:t xml:space="preserve">otro grupo de expertos de la supervisión clínica de la medicina de varias instituciones </w:t>
      </w:r>
      <w:r w:rsidR="002C7F1B" w:rsidRPr="00AB0274">
        <w:rPr>
          <w:rFonts w:ascii="Times New Roman" w:hAnsi="Times New Roman" w:cs="Times New Roman"/>
          <w:sz w:val="24"/>
          <w:szCs w:val="24"/>
        </w:rPr>
        <w:t>públicas de salud en México, quienes</w:t>
      </w:r>
      <w:r w:rsidRPr="00AB0274">
        <w:rPr>
          <w:rFonts w:ascii="Times New Roman" w:hAnsi="Times New Roman" w:cs="Times New Roman"/>
          <w:sz w:val="24"/>
          <w:szCs w:val="24"/>
        </w:rPr>
        <w:t xml:space="preserve"> validar</w:t>
      </w:r>
      <w:r w:rsidR="002C7F1B" w:rsidRPr="00AB0274">
        <w:rPr>
          <w:rFonts w:ascii="Times New Roman" w:hAnsi="Times New Roman" w:cs="Times New Roman"/>
          <w:sz w:val="24"/>
          <w:szCs w:val="24"/>
        </w:rPr>
        <w:t>on</w:t>
      </w:r>
      <w:r w:rsidRPr="00AB0274">
        <w:rPr>
          <w:rFonts w:ascii="Times New Roman" w:hAnsi="Times New Roman" w:cs="Times New Roman"/>
          <w:sz w:val="24"/>
          <w:szCs w:val="24"/>
        </w:rPr>
        <w:t xml:space="preserve"> el contenido del cuestionario; </w:t>
      </w:r>
      <w:r w:rsidR="002C7F1B" w:rsidRPr="00AB0274">
        <w:rPr>
          <w:rFonts w:ascii="Times New Roman" w:hAnsi="Times New Roman" w:cs="Times New Roman"/>
          <w:sz w:val="24"/>
          <w:szCs w:val="24"/>
        </w:rPr>
        <w:t xml:space="preserve">(iii) </w:t>
      </w:r>
      <w:r w:rsidRPr="00AB0274">
        <w:rPr>
          <w:rFonts w:ascii="Times New Roman" w:hAnsi="Times New Roman" w:cs="Times New Roman"/>
          <w:sz w:val="24"/>
          <w:szCs w:val="24"/>
        </w:rPr>
        <w:t xml:space="preserve">un tercer grupo compuesto de estudiantes de </w:t>
      </w:r>
      <w:r w:rsidR="002C7F1B" w:rsidRPr="00AB0274">
        <w:rPr>
          <w:rFonts w:ascii="Times New Roman" w:hAnsi="Times New Roman" w:cs="Times New Roman"/>
          <w:sz w:val="24"/>
          <w:szCs w:val="24"/>
        </w:rPr>
        <w:t>pregrado en medicina de una universidad pública mexicana, quienes formaron parte d</w:t>
      </w:r>
      <w:r w:rsidRPr="00AB0274">
        <w:rPr>
          <w:rFonts w:ascii="Times New Roman" w:hAnsi="Times New Roman" w:cs="Times New Roman"/>
          <w:sz w:val="24"/>
          <w:szCs w:val="24"/>
        </w:rPr>
        <w:t xml:space="preserve">el estudio piloto; y </w:t>
      </w:r>
      <w:r w:rsidR="002C7F1B" w:rsidRPr="00AB0274">
        <w:rPr>
          <w:rFonts w:ascii="Times New Roman" w:hAnsi="Times New Roman" w:cs="Times New Roman"/>
          <w:sz w:val="24"/>
          <w:szCs w:val="24"/>
        </w:rPr>
        <w:t xml:space="preserve">(iv) </w:t>
      </w:r>
      <w:r w:rsidRPr="00AB0274">
        <w:rPr>
          <w:rFonts w:ascii="Times New Roman" w:hAnsi="Times New Roman" w:cs="Times New Roman"/>
          <w:sz w:val="24"/>
          <w:szCs w:val="24"/>
        </w:rPr>
        <w:t>una experta en gramática.</w:t>
      </w:r>
    </w:p>
    <w:p w14:paraId="7E70F215" w14:textId="77777777" w:rsidR="005F0835" w:rsidRPr="009032AA" w:rsidRDefault="005F0835" w:rsidP="00DD794A">
      <w:pPr>
        <w:spacing w:before="120" w:after="120" w:line="240" w:lineRule="auto"/>
        <w:jc w:val="both"/>
        <w:rPr>
          <w:rFonts w:ascii="Times New Roman" w:hAnsi="Times New Roman" w:cs="Times New Roman"/>
          <w:b/>
          <w:i/>
          <w:sz w:val="24"/>
          <w:szCs w:val="24"/>
        </w:rPr>
      </w:pPr>
      <w:r w:rsidRPr="00AB0274">
        <w:rPr>
          <w:rFonts w:ascii="Times New Roman" w:hAnsi="Times New Roman" w:cs="Times New Roman"/>
          <w:sz w:val="24"/>
          <w:szCs w:val="24"/>
        </w:rPr>
        <w:tab/>
      </w:r>
      <w:r w:rsidRPr="009032AA">
        <w:rPr>
          <w:rFonts w:ascii="Times New Roman" w:hAnsi="Times New Roman" w:cs="Times New Roman"/>
          <w:b/>
          <w:i/>
          <w:sz w:val="24"/>
          <w:szCs w:val="24"/>
        </w:rPr>
        <w:t>Materiales</w:t>
      </w:r>
    </w:p>
    <w:p w14:paraId="7E70F216" w14:textId="77777777" w:rsidR="005F0835" w:rsidRPr="00AB0274" w:rsidRDefault="007C563E" w:rsidP="00DD794A">
      <w:pPr>
        <w:spacing w:before="120" w:after="120" w:line="240" w:lineRule="auto"/>
        <w:ind w:firstLine="708"/>
        <w:jc w:val="both"/>
        <w:rPr>
          <w:rFonts w:ascii="Times New Roman" w:hAnsi="Times New Roman" w:cs="Times New Roman"/>
          <w:sz w:val="24"/>
          <w:szCs w:val="24"/>
        </w:rPr>
      </w:pPr>
      <w:r w:rsidRPr="00AB0274">
        <w:rPr>
          <w:rFonts w:ascii="Times New Roman" w:hAnsi="Times New Roman" w:cs="Times New Roman"/>
          <w:sz w:val="24"/>
          <w:szCs w:val="24"/>
        </w:rPr>
        <w:t>El Modelo de Evaluación de la Competencia Docente (MECD) [García-Cabrero et al., 2008] fue el material principal que permitió la presente investigación. El MECD se fundamenta en cuatro dimensiones: contexto ins</w:t>
      </w:r>
      <w:r w:rsidR="00F11A8B">
        <w:rPr>
          <w:rFonts w:ascii="Times New Roman" w:hAnsi="Times New Roman" w:cs="Times New Roman"/>
          <w:sz w:val="24"/>
          <w:szCs w:val="24"/>
        </w:rPr>
        <w:t>titucional, previsión</w:t>
      </w:r>
      <w:r w:rsidRPr="00AB0274">
        <w:rPr>
          <w:rFonts w:ascii="Times New Roman" w:hAnsi="Times New Roman" w:cs="Times New Roman"/>
          <w:sz w:val="24"/>
          <w:szCs w:val="24"/>
        </w:rPr>
        <w:t>, conducción y valoración de los procesos de enseñanza y aprendizaje.</w:t>
      </w:r>
    </w:p>
    <w:p w14:paraId="7E70F217" w14:textId="77777777" w:rsidR="007C563E" w:rsidRPr="009032AA" w:rsidRDefault="007C563E" w:rsidP="00DD794A">
      <w:pPr>
        <w:spacing w:before="120" w:after="120" w:line="240" w:lineRule="auto"/>
        <w:jc w:val="both"/>
        <w:rPr>
          <w:rFonts w:ascii="Times New Roman" w:hAnsi="Times New Roman" w:cs="Times New Roman"/>
          <w:b/>
          <w:i/>
          <w:sz w:val="24"/>
          <w:szCs w:val="24"/>
        </w:rPr>
      </w:pPr>
      <w:r w:rsidRPr="00AB0274">
        <w:rPr>
          <w:rFonts w:ascii="Times New Roman" w:hAnsi="Times New Roman" w:cs="Times New Roman"/>
          <w:sz w:val="24"/>
          <w:szCs w:val="24"/>
        </w:rPr>
        <w:tab/>
      </w:r>
      <w:r w:rsidRPr="009032AA">
        <w:rPr>
          <w:rFonts w:ascii="Times New Roman" w:hAnsi="Times New Roman" w:cs="Times New Roman"/>
          <w:b/>
          <w:i/>
          <w:sz w:val="24"/>
          <w:szCs w:val="24"/>
        </w:rPr>
        <w:t>Procedimiento</w:t>
      </w:r>
    </w:p>
    <w:p w14:paraId="7E70F218" w14:textId="77777777" w:rsidR="006F3460" w:rsidRPr="00AB0274" w:rsidRDefault="006F3460" w:rsidP="00DD794A">
      <w:pPr>
        <w:spacing w:before="120" w:after="120" w:line="240" w:lineRule="auto"/>
        <w:ind w:firstLine="708"/>
        <w:jc w:val="both"/>
        <w:rPr>
          <w:rFonts w:ascii="Times New Roman" w:hAnsi="Times New Roman" w:cs="Times New Roman"/>
          <w:sz w:val="24"/>
          <w:szCs w:val="24"/>
        </w:rPr>
      </w:pPr>
      <w:r w:rsidRPr="00AB0274">
        <w:rPr>
          <w:rFonts w:ascii="Times New Roman" w:hAnsi="Times New Roman" w:cs="Times New Roman"/>
          <w:sz w:val="24"/>
          <w:szCs w:val="24"/>
        </w:rPr>
        <w:t xml:space="preserve">La investigación se desarrolló en </w:t>
      </w:r>
      <w:r w:rsidR="00155B37" w:rsidRPr="00AB0274">
        <w:rPr>
          <w:rFonts w:ascii="Times New Roman" w:hAnsi="Times New Roman" w:cs="Times New Roman"/>
          <w:sz w:val="24"/>
          <w:szCs w:val="24"/>
        </w:rPr>
        <w:t>cinco</w:t>
      </w:r>
      <w:r w:rsidRPr="00AB0274">
        <w:rPr>
          <w:rFonts w:ascii="Times New Roman" w:hAnsi="Times New Roman" w:cs="Times New Roman"/>
          <w:sz w:val="24"/>
          <w:szCs w:val="24"/>
        </w:rPr>
        <w:t xml:space="preserve"> fases que van desde la identificación de los dominios del supervisor clínico hasta la integración del cuestionario, la validación del contenido y la aplicación del cuestionario a una muestra intencional en el estudio piloto.</w:t>
      </w:r>
    </w:p>
    <w:p w14:paraId="7E70F219" w14:textId="77777777" w:rsidR="00155B37" w:rsidRPr="00AB0274" w:rsidRDefault="00155B37" w:rsidP="00DD794A">
      <w:pPr>
        <w:spacing w:before="120" w:after="120" w:line="240" w:lineRule="auto"/>
        <w:ind w:firstLine="708"/>
        <w:jc w:val="both"/>
        <w:rPr>
          <w:rFonts w:ascii="Times New Roman" w:hAnsi="Times New Roman" w:cs="Times New Roman"/>
          <w:i/>
          <w:sz w:val="24"/>
          <w:szCs w:val="24"/>
        </w:rPr>
      </w:pPr>
      <w:r w:rsidRPr="00AB0274">
        <w:rPr>
          <w:rFonts w:ascii="Times New Roman" w:hAnsi="Times New Roman" w:cs="Times New Roman"/>
          <w:i/>
          <w:sz w:val="24"/>
          <w:szCs w:val="24"/>
        </w:rPr>
        <w:t xml:space="preserve">Fase 1. Diseño de la matriz de </w:t>
      </w:r>
      <w:r w:rsidR="002E4DF9">
        <w:rPr>
          <w:rFonts w:ascii="Times New Roman" w:hAnsi="Times New Roman" w:cs="Times New Roman"/>
          <w:i/>
          <w:sz w:val="24"/>
          <w:szCs w:val="24"/>
        </w:rPr>
        <w:t>especificación</w:t>
      </w:r>
      <w:r w:rsidRPr="00AB0274">
        <w:rPr>
          <w:rFonts w:ascii="Times New Roman" w:hAnsi="Times New Roman" w:cs="Times New Roman"/>
          <w:i/>
          <w:sz w:val="24"/>
          <w:szCs w:val="24"/>
        </w:rPr>
        <w:t xml:space="preserve"> del cuestionario</w:t>
      </w:r>
    </w:p>
    <w:p w14:paraId="7E70F21A" w14:textId="77777777" w:rsidR="00DC5FEC" w:rsidRPr="00AB0274" w:rsidRDefault="00DC5FEC" w:rsidP="00DD794A">
      <w:pPr>
        <w:spacing w:before="120" w:after="120" w:line="240" w:lineRule="auto"/>
        <w:ind w:firstLine="708"/>
        <w:jc w:val="both"/>
        <w:rPr>
          <w:rFonts w:ascii="Times New Roman" w:hAnsi="Times New Roman" w:cs="Times New Roman"/>
          <w:sz w:val="24"/>
          <w:szCs w:val="24"/>
        </w:rPr>
      </w:pPr>
      <w:r w:rsidRPr="00AB0274">
        <w:rPr>
          <w:rFonts w:ascii="Times New Roman" w:hAnsi="Times New Roman" w:cs="Times New Roman"/>
          <w:sz w:val="24"/>
          <w:szCs w:val="24"/>
        </w:rPr>
        <w:t xml:space="preserve">Con base en la información recolectada en la literatura especializada, se definieron los dominios que deben de considerarse para evaluar a los supervisores clínicos en medicina, para posteriormente desagregarlos en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e integrar una matriz de </w:t>
      </w:r>
      <w:r w:rsidR="002E4DF9">
        <w:rPr>
          <w:rFonts w:ascii="Times New Roman" w:hAnsi="Times New Roman" w:cs="Times New Roman"/>
          <w:sz w:val="24"/>
          <w:szCs w:val="24"/>
        </w:rPr>
        <w:t xml:space="preserve">especificación </w:t>
      </w:r>
      <w:r w:rsidRPr="00AB0274">
        <w:rPr>
          <w:rFonts w:ascii="Times New Roman" w:hAnsi="Times New Roman" w:cs="Times New Roman"/>
          <w:sz w:val="24"/>
          <w:szCs w:val="24"/>
        </w:rPr>
        <w:t>del cuestionario.</w:t>
      </w:r>
    </w:p>
    <w:p w14:paraId="7E70F21B" w14:textId="77777777" w:rsidR="00155B37" w:rsidRPr="00AB0274" w:rsidRDefault="00155B37" w:rsidP="00DD794A">
      <w:pPr>
        <w:spacing w:before="120" w:after="120" w:line="240" w:lineRule="auto"/>
        <w:ind w:firstLine="709"/>
        <w:jc w:val="both"/>
        <w:rPr>
          <w:rFonts w:ascii="Times New Roman" w:eastAsia="Times New Roman" w:hAnsi="Times New Roman" w:cs="Times New Roman"/>
          <w:i/>
          <w:sz w:val="24"/>
          <w:szCs w:val="24"/>
        </w:rPr>
      </w:pPr>
      <w:r w:rsidRPr="00AB0274">
        <w:rPr>
          <w:rFonts w:ascii="Times New Roman" w:eastAsia="Times New Roman" w:hAnsi="Times New Roman" w:cs="Times New Roman"/>
          <w:i/>
          <w:sz w:val="24"/>
          <w:szCs w:val="24"/>
        </w:rPr>
        <w:t>Fase 2. Validación por</w:t>
      </w:r>
      <w:r w:rsidR="002E4DF9">
        <w:rPr>
          <w:rFonts w:ascii="Times New Roman" w:eastAsia="Times New Roman" w:hAnsi="Times New Roman" w:cs="Times New Roman"/>
          <w:i/>
          <w:sz w:val="24"/>
          <w:szCs w:val="24"/>
        </w:rPr>
        <w:t xml:space="preserve"> expertos de la matriz de especificación</w:t>
      </w:r>
      <w:r w:rsidRPr="00AB0274">
        <w:rPr>
          <w:rFonts w:ascii="Times New Roman" w:eastAsia="Times New Roman" w:hAnsi="Times New Roman" w:cs="Times New Roman"/>
          <w:i/>
          <w:sz w:val="24"/>
          <w:szCs w:val="24"/>
        </w:rPr>
        <w:t xml:space="preserve"> del cuestionario </w:t>
      </w:r>
    </w:p>
    <w:p w14:paraId="7E70F21C" w14:textId="5479A37E" w:rsidR="00DC5FEC" w:rsidRPr="00AB0274" w:rsidRDefault="00DC5FEC" w:rsidP="00DD794A">
      <w:pPr>
        <w:spacing w:before="120" w:after="120" w:line="240" w:lineRule="auto"/>
        <w:ind w:firstLine="708"/>
        <w:jc w:val="both"/>
        <w:rPr>
          <w:rFonts w:ascii="Times New Roman" w:eastAsia="Times New Roman" w:hAnsi="Times New Roman" w:cs="Times New Roman"/>
          <w:sz w:val="24"/>
          <w:szCs w:val="24"/>
        </w:rPr>
      </w:pPr>
      <w:r w:rsidRPr="00AB0274">
        <w:rPr>
          <w:rFonts w:ascii="Times New Roman" w:eastAsia="Times New Roman" w:hAnsi="Times New Roman" w:cs="Times New Roman"/>
          <w:sz w:val="24"/>
          <w:szCs w:val="24"/>
        </w:rPr>
        <w:t xml:space="preserve">Las dimensiones, competencias e ítems que constituyen la matriz de </w:t>
      </w:r>
      <w:r w:rsidR="002E4DF9">
        <w:rPr>
          <w:rFonts w:ascii="Times New Roman" w:eastAsia="Times New Roman" w:hAnsi="Times New Roman" w:cs="Times New Roman"/>
          <w:sz w:val="24"/>
          <w:szCs w:val="24"/>
        </w:rPr>
        <w:t>especifica</w:t>
      </w:r>
      <w:r w:rsidRPr="00AB0274">
        <w:rPr>
          <w:rFonts w:ascii="Times New Roman" w:eastAsia="Times New Roman" w:hAnsi="Times New Roman" w:cs="Times New Roman"/>
          <w:sz w:val="24"/>
          <w:szCs w:val="24"/>
        </w:rPr>
        <w:t xml:space="preserve">ción se pusieron a consideración de un psicómetra y cuatro expertos en la supervisión clínica. En esta sesión </w:t>
      </w:r>
      <w:r w:rsidR="00DA584B">
        <w:rPr>
          <w:rFonts w:ascii="Times New Roman" w:eastAsia="Times New Roman" w:hAnsi="Times New Roman" w:cs="Times New Roman"/>
          <w:sz w:val="24"/>
          <w:szCs w:val="24"/>
        </w:rPr>
        <w:t>con expertos</w:t>
      </w:r>
      <w:r w:rsidRPr="00AB0274">
        <w:rPr>
          <w:rFonts w:ascii="Times New Roman" w:eastAsia="Times New Roman" w:hAnsi="Times New Roman" w:cs="Times New Roman"/>
          <w:sz w:val="24"/>
          <w:szCs w:val="24"/>
        </w:rPr>
        <w:t xml:space="preserve"> se valoraron tres elementos: (i) la claridad del </w:t>
      </w:r>
      <w:r w:rsidR="00FD0847">
        <w:rPr>
          <w:rFonts w:ascii="Times New Roman" w:eastAsia="Times New Roman" w:hAnsi="Times New Roman" w:cs="Times New Roman"/>
          <w:sz w:val="24"/>
          <w:szCs w:val="24"/>
        </w:rPr>
        <w:t>ítem</w:t>
      </w:r>
      <w:r w:rsidRPr="00AB0274">
        <w:rPr>
          <w:rFonts w:ascii="Times New Roman" w:eastAsia="Times New Roman" w:hAnsi="Times New Roman" w:cs="Times New Roman"/>
          <w:sz w:val="24"/>
          <w:szCs w:val="24"/>
        </w:rPr>
        <w:t xml:space="preserve">, que se refiere </w:t>
      </w:r>
      <w:r w:rsidRPr="00AB0274">
        <w:rPr>
          <w:rFonts w:ascii="Times New Roman" w:eastAsia="Times New Roman" w:hAnsi="Times New Roman" w:cs="Times New Roman"/>
          <w:sz w:val="24"/>
          <w:szCs w:val="24"/>
        </w:rPr>
        <w:lastRenderedPageBreak/>
        <w:t xml:space="preserve">al grado en que el ítem comunica de manera objetiva el enunciado; (ii) la factibilidad del </w:t>
      </w:r>
      <w:r w:rsidR="00FD0847">
        <w:rPr>
          <w:rFonts w:ascii="Times New Roman" w:eastAsia="Times New Roman" w:hAnsi="Times New Roman" w:cs="Times New Roman"/>
          <w:sz w:val="24"/>
          <w:szCs w:val="24"/>
        </w:rPr>
        <w:t>ítem</w:t>
      </w:r>
      <w:r w:rsidRPr="00AB0274">
        <w:rPr>
          <w:rFonts w:ascii="Times New Roman" w:eastAsia="Times New Roman" w:hAnsi="Times New Roman" w:cs="Times New Roman"/>
          <w:sz w:val="24"/>
          <w:szCs w:val="24"/>
        </w:rPr>
        <w:t xml:space="preserve">, es el grado en que el ítem puede ser contestado por el estudiante; y (iii) la congruencia, que se refiere al grado en que los </w:t>
      </w:r>
      <w:r w:rsidR="002E4DF9">
        <w:rPr>
          <w:rFonts w:ascii="Times New Roman" w:eastAsia="Times New Roman" w:hAnsi="Times New Roman" w:cs="Times New Roman"/>
          <w:sz w:val="24"/>
          <w:szCs w:val="24"/>
        </w:rPr>
        <w:t>ítems</w:t>
      </w:r>
      <w:r w:rsidRPr="00AB0274">
        <w:rPr>
          <w:rFonts w:ascii="Times New Roman" w:eastAsia="Times New Roman" w:hAnsi="Times New Roman" w:cs="Times New Roman"/>
          <w:sz w:val="24"/>
          <w:szCs w:val="24"/>
        </w:rPr>
        <w:t xml:space="preserve"> se corresponden lógicamente con la competencia a la que pertenecen. Los juicios de los expertos fueron tratados mediante el an</w:t>
      </w:r>
      <w:r w:rsidR="00A14285" w:rsidRPr="00AB0274">
        <w:rPr>
          <w:rFonts w:ascii="Times New Roman" w:eastAsia="Times New Roman" w:hAnsi="Times New Roman" w:cs="Times New Roman"/>
          <w:sz w:val="24"/>
          <w:szCs w:val="24"/>
        </w:rPr>
        <w:t>álisis cualitativo de contenido y s</w:t>
      </w:r>
      <w:r w:rsidRPr="00AB0274">
        <w:rPr>
          <w:rFonts w:ascii="Times New Roman" w:eastAsia="Times New Roman" w:hAnsi="Times New Roman" w:cs="Times New Roman"/>
          <w:sz w:val="24"/>
          <w:szCs w:val="24"/>
        </w:rPr>
        <w:t>e tomaron en consideración aquellas modificaciones que fueron prop</w:t>
      </w:r>
      <w:r w:rsidR="00A14285" w:rsidRPr="00AB0274">
        <w:rPr>
          <w:rFonts w:ascii="Times New Roman" w:eastAsia="Times New Roman" w:hAnsi="Times New Roman" w:cs="Times New Roman"/>
          <w:sz w:val="24"/>
          <w:szCs w:val="24"/>
        </w:rPr>
        <w:t>uestas por al menos dos jueces. El producto de esta fase fue</w:t>
      </w:r>
      <w:r w:rsidRPr="00AB0274">
        <w:rPr>
          <w:rFonts w:ascii="Times New Roman" w:eastAsia="Times New Roman" w:hAnsi="Times New Roman" w:cs="Times New Roman"/>
          <w:sz w:val="24"/>
          <w:szCs w:val="24"/>
        </w:rPr>
        <w:t xml:space="preserve"> la primera versión del cuestionario con los </w:t>
      </w:r>
      <w:r w:rsidR="002E4DF9">
        <w:rPr>
          <w:rFonts w:ascii="Times New Roman" w:eastAsia="Times New Roman" w:hAnsi="Times New Roman" w:cs="Times New Roman"/>
          <w:sz w:val="24"/>
          <w:szCs w:val="24"/>
        </w:rPr>
        <w:t>ítems</w:t>
      </w:r>
      <w:r w:rsidRPr="00AB0274">
        <w:rPr>
          <w:rFonts w:ascii="Times New Roman" w:eastAsia="Times New Roman" w:hAnsi="Times New Roman" w:cs="Times New Roman"/>
          <w:sz w:val="24"/>
          <w:szCs w:val="24"/>
        </w:rPr>
        <w:t xml:space="preserve"> que habrían de utilizarse en la fase piloto del estudio. </w:t>
      </w:r>
    </w:p>
    <w:p w14:paraId="7E70F21D" w14:textId="77777777" w:rsidR="00155B37" w:rsidRPr="00AB0274" w:rsidRDefault="00155B37" w:rsidP="00DD794A">
      <w:pPr>
        <w:spacing w:before="120" w:after="120" w:line="240" w:lineRule="auto"/>
        <w:ind w:firstLine="708"/>
        <w:jc w:val="both"/>
        <w:rPr>
          <w:rFonts w:ascii="Times New Roman" w:hAnsi="Times New Roman" w:cs="Times New Roman"/>
          <w:i/>
          <w:sz w:val="24"/>
          <w:szCs w:val="24"/>
        </w:rPr>
      </w:pPr>
      <w:r w:rsidRPr="00AB0274">
        <w:rPr>
          <w:rFonts w:ascii="Times New Roman" w:hAnsi="Times New Roman" w:cs="Times New Roman"/>
          <w:i/>
          <w:sz w:val="24"/>
          <w:szCs w:val="24"/>
        </w:rPr>
        <w:t>Fase 3. Estudio piloto</w:t>
      </w:r>
    </w:p>
    <w:p w14:paraId="7E70F21E" w14:textId="77777777" w:rsidR="00A14285" w:rsidRPr="00AB0274" w:rsidRDefault="00A14285" w:rsidP="00DD794A">
      <w:pPr>
        <w:spacing w:before="120" w:after="120" w:line="240" w:lineRule="auto"/>
        <w:ind w:firstLine="708"/>
        <w:jc w:val="both"/>
        <w:rPr>
          <w:rFonts w:ascii="Times New Roman" w:hAnsi="Times New Roman" w:cs="Times New Roman"/>
          <w:b/>
          <w:sz w:val="24"/>
          <w:szCs w:val="24"/>
        </w:rPr>
      </w:pPr>
      <w:r w:rsidRPr="00AB0274">
        <w:rPr>
          <w:rFonts w:ascii="Times New Roman" w:hAnsi="Times New Roman" w:cs="Times New Roman"/>
          <w:sz w:val="24"/>
          <w:szCs w:val="24"/>
        </w:rPr>
        <w:t xml:space="preserve">En esta fase se aplicó la primera versión del cuestionario a 37 estudiantes de Medicina que cursan unidades de aprendizaje clínicas </w:t>
      </w:r>
      <w:r w:rsidR="00A44E55">
        <w:rPr>
          <w:rFonts w:ascii="Times New Roman" w:hAnsi="Times New Roman" w:cs="Times New Roman"/>
          <w:sz w:val="24"/>
          <w:szCs w:val="24"/>
        </w:rPr>
        <w:t xml:space="preserve">de la </w:t>
      </w:r>
      <w:r w:rsidR="00A44E55">
        <w:rPr>
          <w:rFonts w:ascii="Times New Roman" w:hAnsi="Times New Roman"/>
          <w:sz w:val="24"/>
          <w:szCs w:val="24"/>
        </w:rPr>
        <w:t>Universidad Autónoma de Baja California</w:t>
      </w:r>
      <w:r w:rsidRPr="00AB0274">
        <w:rPr>
          <w:rFonts w:ascii="Times New Roman" w:hAnsi="Times New Roman" w:cs="Times New Roman"/>
          <w:sz w:val="24"/>
          <w:szCs w:val="24"/>
        </w:rPr>
        <w:t>, con el propósito de analizar la consistencia interna del cuestionario y empezar con la depuración de los ítems.</w:t>
      </w:r>
    </w:p>
    <w:p w14:paraId="7E70F21F" w14:textId="77777777" w:rsidR="009F7B1A" w:rsidRDefault="00155B37" w:rsidP="00DD794A">
      <w:pPr>
        <w:spacing w:before="120" w:after="120" w:line="240" w:lineRule="auto"/>
        <w:ind w:firstLine="708"/>
        <w:jc w:val="both"/>
        <w:rPr>
          <w:rFonts w:ascii="Times New Roman" w:hAnsi="Times New Roman" w:cs="Times New Roman"/>
          <w:i/>
          <w:sz w:val="24"/>
          <w:szCs w:val="24"/>
        </w:rPr>
      </w:pPr>
      <w:r w:rsidRPr="00AB0274">
        <w:rPr>
          <w:rFonts w:ascii="Times New Roman" w:hAnsi="Times New Roman" w:cs="Times New Roman"/>
          <w:i/>
          <w:sz w:val="24"/>
          <w:szCs w:val="24"/>
        </w:rPr>
        <w:t xml:space="preserve">Fase 4. Definición de los </w:t>
      </w:r>
      <w:r w:rsidR="002E4DF9">
        <w:rPr>
          <w:rFonts w:ascii="Times New Roman" w:hAnsi="Times New Roman" w:cs="Times New Roman"/>
          <w:i/>
          <w:sz w:val="24"/>
          <w:szCs w:val="24"/>
        </w:rPr>
        <w:t>ítems</w:t>
      </w:r>
      <w:r w:rsidRPr="00AB0274">
        <w:rPr>
          <w:rFonts w:ascii="Times New Roman" w:hAnsi="Times New Roman" w:cs="Times New Roman"/>
          <w:i/>
          <w:sz w:val="24"/>
          <w:szCs w:val="24"/>
        </w:rPr>
        <w:t xml:space="preserve"> esenciales</w:t>
      </w:r>
    </w:p>
    <w:p w14:paraId="7E70F220" w14:textId="76503188" w:rsidR="00A14285" w:rsidRPr="009F7B1A" w:rsidRDefault="00A14285" w:rsidP="00DD794A">
      <w:pPr>
        <w:spacing w:before="120" w:after="120" w:line="240" w:lineRule="auto"/>
        <w:ind w:firstLine="708"/>
        <w:jc w:val="both"/>
        <w:rPr>
          <w:rFonts w:ascii="Times New Roman" w:hAnsi="Times New Roman" w:cs="Times New Roman"/>
          <w:i/>
          <w:sz w:val="24"/>
          <w:szCs w:val="24"/>
        </w:rPr>
      </w:pPr>
      <w:r w:rsidRPr="00AB0274">
        <w:rPr>
          <w:rFonts w:ascii="Times New Roman" w:hAnsi="Times New Roman" w:cs="Times New Roman"/>
          <w:sz w:val="24"/>
          <w:szCs w:val="24"/>
        </w:rPr>
        <w:t xml:space="preserve">Se solicitó a los expertos que valoraran los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calificándolos de acuerdo con lo propuesto con </w:t>
      </w:r>
      <w:proofErr w:type="spellStart"/>
      <w:r w:rsidRPr="00AB0274">
        <w:rPr>
          <w:rFonts w:ascii="Times New Roman" w:hAnsi="Times New Roman" w:cs="Times New Roman"/>
          <w:sz w:val="24"/>
          <w:szCs w:val="24"/>
        </w:rPr>
        <w:t>Lawshe</w:t>
      </w:r>
      <w:proofErr w:type="spellEnd"/>
      <w:r w:rsidRPr="00AB0274">
        <w:rPr>
          <w:rFonts w:ascii="Times New Roman" w:hAnsi="Times New Roman" w:cs="Times New Roman"/>
          <w:sz w:val="24"/>
          <w:szCs w:val="24"/>
        </w:rPr>
        <w:t xml:space="preserve"> (1975):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esenciales,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útiles, pero no esenciales </w:t>
      </w:r>
      <w:r w:rsidR="00BC1AA0">
        <w:rPr>
          <w:rFonts w:ascii="Times New Roman" w:hAnsi="Times New Roman" w:cs="Times New Roman"/>
          <w:sz w:val="24"/>
          <w:szCs w:val="24"/>
        </w:rPr>
        <w:t>e</w:t>
      </w:r>
      <w:r w:rsidRPr="00AB0274">
        <w:rPr>
          <w:rFonts w:ascii="Times New Roman" w:hAnsi="Times New Roman" w:cs="Times New Roman"/>
          <w:sz w:val="24"/>
          <w:szCs w:val="24"/>
        </w:rPr>
        <w:t xml:space="preserve">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no necesarios.</w:t>
      </w:r>
    </w:p>
    <w:p w14:paraId="7E70F221" w14:textId="77777777" w:rsidR="00A14285" w:rsidRPr="00AB0274" w:rsidRDefault="00A14285" w:rsidP="00DD794A">
      <w:pPr>
        <w:spacing w:before="120" w:after="120" w:line="240" w:lineRule="auto"/>
        <w:jc w:val="both"/>
        <w:rPr>
          <w:rFonts w:ascii="Times New Roman" w:hAnsi="Times New Roman" w:cs="Times New Roman"/>
          <w:sz w:val="24"/>
          <w:szCs w:val="24"/>
        </w:rPr>
      </w:pPr>
      <w:r w:rsidRPr="00AB0274">
        <w:rPr>
          <w:rFonts w:ascii="Times New Roman" w:hAnsi="Times New Roman" w:cs="Times New Roman"/>
          <w:sz w:val="24"/>
          <w:szCs w:val="24"/>
        </w:rPr>
        <w:tab/>
        <w:t>Para anal</w:t>
      </w:r>
      <w:r w:rsidR="00DA584B">
        <w:rPr>
          <w:rFonts w:ascii="Times New Roman" w:hAnsi="Times New Roman" w:cs="Times New Roman"/>
          <w:sz w:val="24"/>
          <w:szCs w:val="24"/>
        </w:rPr>
        <w:t>izar la información producto de la consulta a expertos</w:t>
      </w:r>
      <w:r w:rsidRPr="00AB0274">
        <w:rPr>
          <w:rFonts w:ascii="Times New Roman" w:hAnsi="Times New Roman" w:cs="Times New Roman"/>
          <w:sz w:val="24"/>
          <w:szCs w:val="24"/>
        </w:rPr>
        <w:t xml:space="preserve"> se utilizó la propuesta de adaptación del </w:t>
      </w:r>
      <w:r w:rsidRPr="00AB0274">
        <w:rPr>
          <w:rFonts w:ascii="Times New Roman" w:hAnsi="Times New Roman" w:cs="Times New Roman"/>
          <w:i/>
          <w:sz w:val="24"/>
          <w:szCs w:val="24"/>
        </w:rPr>
        <w:t xml:space="preserve">Content </w:t>
      </w:r>
      <w:proofErr w:type="spellStart"/>
      <w:r w:rsidRPr="00AB0274">
        <w:rPr>
          <w:rFonts w:ascii="Times New Roman" w:hAnsi="Times New Roman" w:cs="Times New Roman"/>
          <w:i/>
          <w:sz w:val="24"/>
          <w:szCs w:val="24"/>
        </w:rPr>
        <w:t>Validity</w:t>
      </w:r>
      <w:proofErr w:type="spellEnd"/>
      <w:r w:rsidRPr="00AB0274">
        <w:rPr>
          <w:rFonts w:ascii="Times New Roman" w:hAnsi="Times New Roman" w:cs="Times New Roman"/>
          <w:i/>
          <w:sz w:val="24"/>
          <w:szCs w:val="24"/>
        </w:rPr>
        <w:t xml:space="preserve"> Ratio </w:t>
      </w:r>
      <w:r w:rsidRPr="00AB0274">
        <w:rPr>
          <w:rFonts w:ascii="Times New Roman" w:hAnsi="Times New Roman" w:cs="Times New Roman"/>
          <w:sz w:val="24"/>
          <w:szCs w:val="24"/>
        </w:rPr>
        <w:t>(CVR)</w:t>
      </w:r>
      <w:r w:rsidRPr="00AB0274">
        <w:rPr>
          <w:rFonts w:ascii="Times New Roman" w:hAnsi="Times New Roman" w:cs="Times New Roman"/>
          <w:i/>
          <w:sz w:val="24"/>
          <w:szCs w:val="24"/>
        </w:rPr>
        <w:t xml:space="preserve"> </w:t>
      </w:r>
      <w:r w:rsidRPr="00AB0274">
        <w:rPr>
          <w:rFonts w:ascii="Times New Roman" w:hAnsi="Times New Roman" w:cs="Times New Roman"/>
          <w:sz w:val="24"/>
          <w:szCs w:val="24"/>
        </w:rPr>
        <w:t xml:space="preserve">y </w:t>
      </w:r>
      <w:r w:rsidRPr="00AB0274">
        <w:rPr>
          <w:rFonts w:ascii="Times New Roman" w:hAnsi="Times New Roman" w:cs="Times New Roman"/>
          <w:i/>
          <w:sz w:val="24"/>
          <w:szCs w:val="24"/>
        </w:rPr>
        <w:t xml:space="preserve">Content </w:t>
      </w:r>
      <w:proofErr w:type="spellStart"/>
      <w:r w:rsidRPr="00AB0274">
        <w:rPr>
          <w:rFonts w:ascii="Times New Roman" w:hAnsi="Times New Roman" w:cs="Times New Roman"/>
          <w:i/>
          <w:sz w:val="24"/>
          <w:szCs w:val="24"/>
        </w:rPr>
        <w:t>Validity</w:t>
      </w:r>
      <w:proofErr w:type="spellEnd"/>
      <w:r w:rsidRPr="00AB0274">
        <w:rPr>
          <w:rFonts w:ascii="Times New Roman" w:hAnsi="Times New Roman" w:cs="Times New Roman"/>
          <w:i/>
          <w:sz w:val="24"/>
          <w:szCs w:val="24"/>
        </w:rPr>
        <w:t xml:space="preserve"> </w:t>
      </w:r>
      <w:proofErr w:type="spellStart"/>
      <w:r w:rsidRPr="00AB0274">
        <w:rPr>
          <w:rFonts w:ascii="Times New Roman" w:hAnsi="Times New Roman" w:cs="Times New Roman"/>
          <w:i/>
          <w:sz w:val="24"/>
          <w:szCs w:val="24"/>
        </w:rPr>
        <w:t>Index</w:t>
      </w:r>
      <w:proofErr w:type="spellEnd"/>
      <w:r w:rsidRPr="00AB0274">
        <w:rPr>
          <w:rFonts w:ascii="Times New Roman" w:hAnsi="Times New Roman" w:cs="Times New Roman"/>
          <w:sz w:val="24"/>
          <w:szCs w:val="24"/>
        </w:rPr>
        <w:t xml:space="preserve"> (CVI) originalmente propuesto por </w:t>
      </w:r>
      <w:proofErr w:type="spellStart"/>
      <w:r w:rsidRPr="00AB0274">
        <w:rPr>
          <w:rFonts w:ascii="Times New Roman" w:hAnsi="Times New Roman" w:cs="Times New Roman"/>
          <w:sz w:val="24"/>
          <w:szCs w:val="24"/>
        </w:rPr>
        <w:t>Lawshe</w:t>
      </w:r>
      <w:proofErr w:type="spellEnd"/>
      <w:r w:rsidRPr="00AB0274">
        <w:rPr>
          <w:rFonts w:ascii="Times New Roman" w:hAnsi="Times New Roman" w:cs="Times New Roman"/>
          <w:sz w:val="24"/>
          <w:szCs w:val="24"/>
        </w:rPr>
        <w:t xml:space="preserve"> (1975) y modificado por Tristán (2008). La expresión algebraica utilizada para el cálculo del CVR´ fue:</w:t>
      </w:r>
    </w:p>
    <w:p w14:paraId="7E70F222" w14:textId="77777777" w:rsidR="00A14285" w:rsidRPr="00AB0274" w:rsidRDefault="00A14285" w:rsidP="00DD794A">
      <w:pPr>
        <w:spacing w:before="120" w:after="120" w:line="240" w:lineRule="auto"/>
        <w:jc w:val="both"/>
        <w:rPr>
          <w:rFonts w:ascii="Times New Roman" w:hAnsi="Times New Roman" w:cs="Times New Roman"/>
          <w:b/>
          <w:sz w:val="24"/>
          <w:szCs w:val="24"/>
        </w:rPr>
      </w:pPr>
      <m:oMathPara>
        <m:oMath>
          <m:r>
            <m:rPr>
              <m:sty m:val="b"/>
            </m:rPr>
            <w:rPr>
              <w:rFonts w:ascii="Cambria Math" w:hAnsi="Cambria Math" w:cs="Times New Roman"/>
              <w:sz w:val="24"/>
              <w:szCs w:val="24"/>
            </w:rPr>
            <m:t>CVR´</m:t>
          </m:r>
          <m:r>
            <m:rPr>
              <m:sty m:val="bi"/>
            </m:rPr>
            <w:rPr>
              <w:rFonts w:ascii="Cambria Math" w:hAnsi="Cambria Math" w:cs="Times New Roman"/>
              <w:sz w:val="24"/>
              <w:szCs w:val="24"/>
            </w:rPr>
            <m:t xml:space="preserve">=  </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e</m:t>
                  </m:r>
                </m:sub>
              </m:sSub>
            </m:num>
            <m:den>
              <m:r>
                <m:rPr>
                  <m:sty m:val="bi"/>
                </m:rPr>
                <w:rPr>
                  <w:rFonts w:ascii="Cambria Math" w:hAnsi="Cambria Math" w:cs="Times New Roman"/>
                  <w:sz w:val="24"/>
                  <w:szCs w:val="24"/>
                </w:rPr>
                <m:t>N</m:t>
              </m:r>
            </m:den>
          </m:f>
        </m:oMath>
      </m:oMathPara>
    </w:p>
    <w:p w14:paraId="7E70F223" w14:textId="77777777" w:rsidR="00A14285" w:rsidRPr="00AB0274" w:rsidRDefault="00A14285" w:rsidP="00DD794A">
      <w:pPr>
        <w:spacing w:before="120" w:after="120" w:line="240" w:lineRule="auto"/>
        <w:jc w:val="both"/>
        <w:rPr>
          <w:rFonts w:ascii="Times New Roman" w:hAnsi="Times New Roman" w:cs="Times New Roman"/>
          <w:sz w:val="24"/>
          <w:szCs w:val="24"/>
        </w:rPr>
      </w:pPr>
      <w:r w:rsidRPr="00AB0274">
        <w:rPr>
          <w:rFonts w:ascii="Times New Roman" w:hAnsi="Times New Roman" w:cs="Times New Roman"/>
          <w:sz w:val="24"/>
          <w:szCs w:val="24"/>
        </w:rPr>
        <w:t>Donde:</w:t>
      </w:r>
    </w:p>
    <w:p w14:paraId="7E70F224" w14:textId="77777777" w:rsidR="00A14285" w:rsidRPr="00AB0274" w:rsidRDefault="00872D14" w:rsidP="00DD794A">
      <w:pPr>
        <w:spacing w:before="120" w:after="120" w:line="240" w:lineRule="auto"/>
        <w:jc w:val="both"/>
        <w:rPr>
          <w:rFonts w:ascii="Times New Roman" w:hAnsi="Times New Roman" w:cs="Times New Roman"/>
          <w:i/>
          <w:sz w:val="24"/>
          <w:szCs w:val="24"/>
        </w:rPr>
      </w:pP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n</m:t>
            </m:r>
          </m:e>
          <m:sub>
            <m:r>
              <m:rPr>
                <m:sty m:val="bi"/>
              </m:rPr>
              <w:rPr>
                <w:rFonts w:ascii="Cambria Math" w:hAnsi="Cambria Math" w:cs="Times New Roman"/>
                <w:sz w:val="24"/>
                <w:szCs w:val="24"/>
              </w:rPr>
              <m:t>e</m:t>
            </m:r>
          </m:sub>
        </m:sSub>
      </m:oMath>
      <w:r w:rsidR="00A14285" w:rsidRPr="00AB0274">
        <w:rPr>
          <w:rFonts w:ascii="Times New Roman" w:hAnsi="Times New Roman" w:cs="Times New Roman"/>
          <w:b/>
          <w:sz w:val="24"/>
          <w:szCs w:val="24"/>
        </w:rPr>
        <w:t xml:space="preserve">= </w:t>
      </w:r>
      <w:r w:rsidR="00A14285" w:rsidRPr="00AB0274">
        <w:rPr>
          <w:rFonts w:ascii="Times New Roman" w:hAnsi="Times New Roman" w:cs="Times New Roman"/>
          <w:sz w:val="24"/>
          <w:szCs w:val="24"/>
        </w:rPr>
        <w:t xml:space="preserve">número de expertos que tienen acuerdo en la categoría </w:t>
      </w:r>
      <w:r w:rsidR="00A14285" w:rsidRPr="00AB0274">
        <w:rPr>
          <w:rFonts w:ascii="Times New Roman" w:hAnsi="Times New Roman" w:cs="Times New Roman"/>
          <w:i/>
          <w:sz w:val="24"/>
          <w:szCs w:val="24"/>
        </w:rPr>
        <w:t>esencial.</w:t>
      </w:r>
    </w:p>
    <w:p w14:paraId="7E70F225" w14:textId="77777777" w:rsidR="00A14285" w:rsidRPr="00AB0274" w:rsidRDefault="00A14285" w:rsidP="00DD794A">
      <w:pPr>
        <w:spacing w:before="120" w:after="120" w:line="240" w:lineRule="auto"/>
        <w:jc w:val="both"/>
        <w:rPr>
          <w:rFonts w:ascii="Times New Roman" w:hAnsi="Times New Roman" w:cs="Times New Roman"/>
          <w:sz w:val="24"/>
          <w:szCs w:val="24"/>
        </w:rPr>
      </w:pPr>
      <w:r w:rsidRPr="00AB0274">
        <w:rPr>
          <w:rFonts w:ascii="Times New Roman" w:hAnsi="Times New Roman" w:cs="Times New Roman"/>
          <w:b/>
          <w:i/>
          <w:sz w:val="24"/>
          <w:szCs w:val="24"/>
        </w:rPr>
        <w:t>N</w:t>
      </w:r>
      <w:r w:rsidRPr="00AB0274">
        <w:rPr>
          <w:rFonts w:ascii="Times New Roman" w:hAnsi="Times New Roman" w:cs="Times New Roman"/>
          <w:b/>
          <w:sz w:val="24"/>
          <w:szCs w:val="24"/>
        </w:rPr>
        <w:t xml:space="preserve">= </w:t>
      </w:r>
      <w:r w:rsidRPr="00AB0274">
        <w:rPr>
          <w:rFonts w:ascii="Times New Roman" w:hAnsi="Times New Roman" w:cs="Times New Roman"/>
          <w:sz w:val="24"/>
          <w:szCs w:val="24"/>
        </w:rPr>
        <w:t xml:space="preserve">número total de expertos que participaron el en proceso </w:t>
      </w:r>
      <w:r w:rsidR="00DA584B">
        <w:rPr>
          <w:rFonts w:ascii="Times New Roman" w:hAnsi="Times New Roman" w:cs="Times New Roman"/>
          <w:sz w:val="24"/>
          <w:szCs w:val="24"/>
        </w:rPr>
        <w:t>con expertos</w:t>
      </w:r>
      <w:r w:rsidRPr="00AB0274">
        <w:rPr>
          <w:rFonts w:ascii="Times New Roman" w:hAnsi="Times New Roman" w:cs="Times New Roman"/>
          <w:sz w:val="24"/>
          <w:szCs w:val="24"/>
        </w:rPr>
        <w:t>.</w:t>
      </w:r>
    </w:p>
    <w:p w14:paraId="7E70F226" w14:textId="08B62F79" w:rsidR="00A14285" w:rsidRPr="00AB0274" w:rsidRDefault="00A14285" w:rsidP="00DD794A">
      <w:pPr>
        <w:spacing w:before="120" w:after="120" w:line="240" w:lineRule="auto"/>
        <w:jc w:val="both"/>
        <w:rPr>
          <w:rFonts w:ascii="Times New Roman" w:hAnsi="Times New Roman" w:cs="Times New Roman"/>
          <w:sz w:val="24"/>
          <w:szCs w:val="24"/>
        </w:rPr>
      </w:pPr>
      <w:r w:rsidRPr="00AB0274">
        <w:rPr>
          <w:rFonts w:ascii="Times New Roman" w:hAnsi="Times New Roman" w:cs="Times New Roman"/>
          <w:sz w:val="24"/>
          <w:szCs w:val="24"/>
        </w:rPr>
        <w:tab/>
      </w:r>
      <w:r w:rsidR="00C61EAF">
        <w:rPr>
          <w:rFonts w:ascii="Times New Roman" w:hAnsi="Times New Roman" w:cs="Times New Roman"/>
          <w:sz w:val="24"/>
          <w:szCs w:val="24"/>
        </w:rPr>
        <w:t xml:space="preserve">Se recurrió a la modificación propuesta por </w:t>
      </w:r>
      <w:proofErr w:type="spellStart"/>
      <w:r w:rsidR="00C61EAF">
        <w:rPr>
          <w:rFonts w:ascii="Times New Roman" w:hAnsi="Times New Roman" w:cs="Times New Roman"/>
          <w:sz w:val="24"/>
          <w:szCs w:val="24"/>
        </w:rPr>
        <w:t>Tristan</w:t>
      </w:r>
      <w:proofErr w:type="spellEnd"/>
      <w:r w:rsidR="00C61EAF">
        <w:rPr>
          <w:rFonts w:ascii="Times New Roman" w:hAnsi="Times New Roman" w:cs="Times New Roman"/>
          <w:sz w:val="24"/>
          <w:szCs w:val="24"/>
        </w:rPr>
        <w:t xml:space="preserve"> ya que la </w:t>
      </w:r>
      <w:r w:rsidR="008D17B3">
        <w:rPr>
          <w:rFonts w:ascii="Times New Roman" w:hAnsi="Times New Roman" w:cs="Times New Roman"/>
          <w:sz w:val="24"/>
          <w:szCs w:val="24"/>
        </w:rPr>
        <w:t xml:space="preserve">versión original de </w:t>
      </w:r>
      <w:proofErr w:type="spellStart"/>
      <w:r w:rsidR="008D17B3">
        <w:rPr>
          <w:rFonts w:ascii="Times New Roman" w:hAnsi="Times New Roman" w:cs="Times New Roman"/>
          <w:sz w:val="24"/>
          <w:szCs w:val="24"/>
        </w:rPr>
        <w:t>Lawshe</w:t>
      </w:r>
      <w:proofErr w:type="spellEnd"/>
      <w:r w:rsidR="008D17B3">
        <w:rPr>
          <w:rFonts w:ascii="Times New Roman" w:hAnsi="Times New Roman" w:cs="Times New Roman"/>
          <w:sz w:val="24"/>
          <w:szCs w:val="24"/>
        </w:rPr>
        <w:t xml:space="preserve"> resultó demasiado rigurosa: de acuerdo con </w:t>
      </w:r>
      <w:proofErr w:type="spellStart"/>
      <w:r w:rsidR="008D17B3">
        <w:rPr>
          <w:rFonts w:ascii="Times New Roman" w:hAnsi="Times New Roman" w:cs="Times New Roman"/>
          <w:sz w:val="24"/>
          <w:szCs w:val="24"/>
        </w:rPr>
        <w:t>Lawshe</w:t>
      </w:r>
      <w:proofErr w:type="spellEnd"/>
      <w:r w:rsidR="008D17B3">
        <w:rPr>
          <w:rFonts w:ascii="Times New Roman" w:hAnsi="Times New Roman" w:cs="Times New Roman"/>
          <w:sz w:val="24"/>
          <w:szCs w:val="24"/>
        </w:rPr>
        <w:t xml:space="preserve"> (1975), se requiere un número muy grande de expertos para validar el contenido de un cuestionario o bien, un nivel de acuerdo muy elevado entre pocos </w:t>
      </w:r>
      <w:r w:rsidR="00D41C5C">
        <w:rPr>
          <w:rFonts w:ascii="Times New Roman" w:hAnsi="Times New Roman" w:cs="Times New Roman"/>
          <w:sz w:val="24"/>
          <w:szCs w:val="24"/>
        </w:rPr>
        <w:t>expertos</w:t>
      </w:r>
      <w:r w:rsidR="008D17B3">
        <w:rPr>
          <w:rFonts w:ascii="Times New Roman" w:hAnsi="Times New Roman" w:cs="Times New Roman"/>
          <w:sz w:val="24"/>
          <w:szCs w:val="24"/>
        </w:rPr>
        <w:t>; por ejemplo, para el número de jueces que se utilizó en este estudio (n=6) se requería un nivel de acuerdo de 0.99. Por su parte, e</w:t>
      </w:r>
      <w:r w:rsidRPr="00AB0274">
        <w:rPr>
          <w:rFonts w:ascii="Times New Roman" w:hAnsi="Times New Roman" w:cs="Times New Roman"/>
          <w:sz w:val="24"/>
          <w:szCs w:val="24"/>
        </w:rPr>
        <w:t xml:space="preserve">l Índice de Validez de Contenido (CVI) se calculó mediante un promedio simple de todos los ítems aceptables (CVR ≥0.58). </w:t>
      </w:r>
    </w:p>
    <w:p w14:paraId="7E70F227" w14:textId="77777777" w:rsidR="00155B37" w:rsidRPr="00AB0274" w:rsidRDefault="00155B37" w:rsidP="00DD794A">
      <w:pPr>
        <w:spacing w:before="120" w:after="120" w:line="240" w:lineRule="auto"/>
        <w:ind w:firstLine="708"/>
        <w:jc w:val="both"/>
        <w:rPr>
          <w:rFonts w:ascii="Times New Roman" w:hAnsi="Times New Roman" w:cs="Times New Roman"/>
          <w:i/>
          <w:sz w:val="24"/>
          <w:szCs w:val="24"/>
        </w:rPr>
      </w:pPr>
      <w:r w:rsidRPr="00AB0274">
        <w:rPr>
          <w:rFonts w:ascii="Times New Roman" w:hAnsi="Times New Roman" w:cs="Times New Roman"/>
          <w:i/>
          <w:sz w:val="24"/>
          <w:szCs w:val="24"/>
        </w:rPr>
        <w:t>Fase 5. Integración del cuestionario</w:t>
      </w:r>
    </w:p>
    <w:p w14:paraId="7E70F228" w14:textId="5047E4FC" w:rsidR="00A14285" w:rsidRPr="00AB0274" w:rsidRDefault="00A14285" w:rsidP="00DD794A">
      <w:pPr>
        <w:pStyle w:val="Default"/>
        <w:spacing w:before="120" w:after="120"/>
        <w:ind w:firstLine="708"/>
        <w:jc w:val="both"/>
        <w:rPr>
          <w:rFonts w:ascii="Times New Roman" w:hAnsi="Times New Roman" w:cs="Times New Roman"/>
          <w:lang w:val="es-MX"/>
        </w:rPr>
      </w:pPr>
      <w:r w:rsidRPr="00AB0274">
        <w:rPr>
          <w:rFonts w:ascii="Times New Roman" w:hAnsi="Times New Roman" w:cs="Times New Roman"/>
          <w:lang w:val="es-MX"/>
        </w:rPr>
        <w:t xml:space="preserve">En esta fase se integraron los resultados del estudio piloto y la validación por </w:t>
      </w:r>
      <w:r w:rsidR="00DA584B">
        <w:rPr>
          <w:rFonts w:ascii="Times New Roman" w:hAnsi="Times New Roman" w:cs="Times New Roman"/>
          <w:lang w:val="es-MX"/>
        </w:rPr>
        <w:t>consulta de expertos</w:t>
      </w:r>
      <w:r w:rsidR="00D41C5C">
        <w:rPr>
          <w:rFonts w:ascii="Times New Roman" w:hAnsi="Times New Roman" w:cs="Times New Roman"/>
          <w:lang w:val="es-MX"/>
        </w:rPr>
        <w:t>,</w:t>
      </w:r>
      <w:r w:rsidRPr="00AB0274">
        <w:rPr>
          <w:rFonts w:ascii="Times New Roman" w:hAnsi="Times New Roman" w:cs="Times New Roman"/>
          <w:lang w:val="es-MX"/>
        </w:rPr>
        <w:t xml:space="preserve"> de tal forma que se pudo depurar el instrumento y tener una versión más parsimoniosa y adecuada. Los criterios para desechar </w:t>
      </w:r>
      <w:r w:rsidR="002E4DF9">
        <w:rPr>
          <w:rFonts w:ascii="Times New Roman" w:hAnsi="Times New Roman" w:cs="Times New Roman"/>
          <w:lang w:val="es-MX"/>
        </w:rPr>
        <w:t>ítems</w:t>
      </w:r>
      <w:r w:rsidRPr="00AB0274">
        <w:rPr>
          <w:rFonts w:ascii="Times New Roman" w:hAnsi="Times New Roman" w:cs="Times New Roman"/>
          <w:lang w:val="es-MX"/>
        </w:rPr>
        <w:t xml:space="preserve"> fueron: (i) los </w:t>
      </w:r>
      <w:r w:rsidR="002E4DF9">
        <w:rPr>
          <w:rFonts w:ascii="Times New Roman" w:hAnsi="Times New Roman" w:cs="Times New Roman"/>
          <w:lang w:val="es-MX"/>
        </w:rPr>
        <w:t>ítems</w:t>
      </w:r>
      <w:r w:rsidRPr="00AB0274">
        <w:rPr>
          <w:rFonts w:ascii="Times New Roman" w:hAnsi="Times New Roman" w:cs="Times New Roman"/>
          <w:lang w:val="es-MX"/>
        </w:rPr>
        <w:t xml:space="preserve"> que presenten un valor menor a .35 en el índice de homogeneidad corregido; (ii) los </w:t>
      </w:r>
      <w:r w:rsidR="002E4DF9">
        <w:rPr>
          <w:rFonts w:ascii="Times New Roman" w:hAnsi="Times New Roman" w:cs="Times New Roman"/>
          <w:lang w:val="es-MX"/>
        </w:rPr>
        <w:t>ítems</w:t>
      </w:r>
      <w:r w:rsidRPr="00AB0274">
        <w:rPr>
          <w:rFonts w:ascii="Times New Roman" w:hAnsi="Times New Roman" w:cs="Times New Roman"/>
          <w:lang w:val="es-MX"/>
        </w:rPr>
        <w:t xml:space="preserve"> que presenten comentarios similares de parte de los jueces y los alumnos que participaron en el pilotaje; y (iii) los </w:t>
      </w:r>
      <w:r w:rsidR="002E4DF9">
        <w:rPr>
          <w:rFonts w:ascii="Times New Roman" w:hAnsi="Times New Roman" w:cs="Times New Roman"/>
          <w:lang w:val="es-MX"/>
        </w:rPr>
        <w:t>ítems</w:t>
      </w:r>
      <w:r w:rsidRPr="00AB0274">
        <w:rPr>
          <w:rFonts w:ascii="Times New Roman" w:hAnsi="Times New Roman" w:cs="Times New Roman"/>
          <w:lang w:val="es-MX"/>
        </w:rPr>
        <w:t xml:space="preserve"> que obtienen valores por debajo de 0.5823 en el cálculo de la Razón de Validez de Contenido (CVR) por considerarse </w:t>
      </w:r>
      <w:r w:rsidRPr="00AB0274">
        <w:rPr>
          <w:rFonts w:ascii="Times New Roman" w:hAnsi="Times New Roman" w:cs="Times New Roman"/>
          <w:i/>
          <w:lang w:val="es-MX"/>
        </w:rPr>
        <w:t xml:space="preserve">no esenciales </w:t>
      </w:r>
      <w:r w:rsidRPr="00AB0274">
        <w:rPr>
          <w:rFonts w:ascii="Times New Roman" w:hAnsi="Times New Roman" w:cs="Times New Roman"/>
          <w:lang w:val="es-MX"/>
        </w:rPr>
        <w:t>de acuerdo con los criterios propuestos por Tristán (2008).</w:t>
      </w:r>
    </w:p>
    <w:p w14:paraId="7E70F229" w14:textId="77777777" w:rsidR="0090420D" w:rsidRPr="00AB0274" w:rsidRDefault="009A07A3" w:rsidP="00DD794A">
      <w:pPr>
        <w:spacing w:before="120" w:after="120" w:line="240" w:lineRule="auto"/>
        <w:ind w:firstLine="708"/>
        <w:jc w:val="both"/>
        <w:rPr>
          <w:rFonts w:ascii="Times New Roman" w:hAnsi="Times New Roman" w:cs="Times New Roman"/>
          <w:b/>
          <w:sz w:val="24"/>
          <w:szCs w:val="24"/>
        </w:rPr>
      </w:pPr>
      <w:r w:rsidRPr="00AB0274">
        <w:rPr>
          <w:rFonts w:ascii="Times New Roman" w:hAnsi="Times New Roman" w:cs="Times New Roman"/>
          <w:b/>
          <w:sz w:val="24"/>
          <w:szCs w:val="24"/>
        </w:rPr>
        <w:lastRenderedPageBreak/>
        <w:t>Estudio 3</w:t>
      </w:r>
      <w:r w:rsidR="0090420D" w:rsidRPr="00AB0274">
        <w:rPr>
          <w:rFonts w:ascii="Times New Roman" w:hAnsi="Times New Roman" w:cs="Times New Roman"/>
          <w:b/>
          <w:sz w:val="24"/>
          <w:szCs w:val="24"/>
        </w:rPr>
        <w:t>. Evidencias</w:t>
      </w:r>
      <w:r w:rsidR="009032AA">
        <w:rPr>
          <w:rFonts w:ascii="Times New Roman" w:hAnsi="Times New Roman" w:cs="Times New Roman"/>
          <w:b/>
          <w:sz w:val="24"/>
          <w:szCs w:val="24"/>
        </w:rPr>
        <w:t xml:space="preserve"> de </w:t>
      </w:r>
      <w:r w:rsidR="0090420D" w:rsidRPr="00AB0274">
        <w:rPr>
          <w:rFonts w:ascii="Times New Roman" w:hAnsi="Times New Roman" w:cs="Times New Roman"/>
          <w:b/>
          <w:sz w:val="24"/>
          <w:szCs w:val="24"/>
        </w:rPr>
        <w:t xml:space="preserve">fiabilidad y validez </w:t>
      </w:r>
    </w:p>
    <w:p w14:paraId="7E70F22A" w14:textId="77777777" w:rsidR="000C10D1" w:rsidRPr="00AB0274" w:rsidRDefault="000C10D1" w:rsidP="00DD794A">
      <w:pPr>
        <w:spacing w:before="120" w:after="120" w:line="240" w:lineRule="auto"/>
        <w:ind w:firstLine="708"/>
        <w:jc w:val="both"/>
        <w:rPr>
          <w:rFonts w:ascii="Times New Roman" w:hAnsi="Times New Roman" w:cs="Times New Roman"/>
          <w:sz w:val="24"/>
          <w:szCs w:val="24"/>
        </w:rPr>
      </w:pPr>
      <w:r w:rsidRPr="00AB0274">
        <w:rPr>
          <w:rFonts w:ascii="Times New Roman" w:hAnsi="Times New Roman" w:cs="Times New Roman"/>
          <w:sz w:val="24"/>
          <w:szCs w:val="24"/>
        </w:rPr>
        <w:t xml:space="preserve">El estudio consiste en generar evidencias de validez y </w:t>
      </w:r>
      <w:r w:rsidR="009032AA">
        <w:rPr>
          <w:rFonts w:ascii="Times New Roman" w:hAnsi="Times New Roman" w:cs="Times New Roman"/>
          <w:sz w:val="24"/>
          <w:szCs w:val="24"/>
        </w:rPr>
        <w:t>fiabilidad</w:t>
      </w:r>
      <w:r w:rsidRPr="00AB0274">
        <w:rPr>
          <w:rFonts w:ascii="Times New Roman" w:hAnsi="Times New Roman" w:cs="Times New Roman"/>
          <w:sz w:val="24"/>
          <w:szCs w:val="24"/>
        </w:rPr>
        <w:t xml:space="preserve"> de las interpretaciones que se producen con el uso del cuestionario desarrollado, esto se logró mediante un proceso de validación cruzada.</w:t>
      </w:r>
    </w:p>
    <w:p w14:paraId="7E70F22B" w14:textId="77777777" w:rsidR="000C10D1" w:rsidRPr="009032AA" w:rsidRDefault="000C10D1" w:rsidP="00DD794A">
      <w:pPr>
        <w:spacing w:before="120" w:after="120" w:line="240" w:lineRule="auto"/>
        <w:ind w:firstLine="708"/>
        <w:jc w:val="both"/>
        <w:rPr>
          <w:rFonts w:ascii="Times New Roman" w:hAnsi="Times New Roman" w:cs="Times New Roman"/>
          <w:b/>
          <w:i/>
          <w:sz w:val="24"/>
          <w:szCs w:val="24"/>
        </w:rPr>
      </w:pPr>
      <w:r w:rsidRPr="009032AA">
        <w:rPr>
          <w:rFonts w:ascii="Times New Roman" w:hAnsi="Times New Roman" w:cs="Times New Roman"/>
          <w:b/>
          <w:i/>
          <w:sz w:val="24"/>
          <w:szCs w:val="24"/>
        </w:rPr>
        <w:t>Participantes</w:t>
      </w:r>
    </w:p>
    <w:p w14:paraId="7E70F22C" w14:textId="77777777" w:rsidR="000C10D1" w:rsidRPr="00AB0274" w:rsidRDefault="000C10D1" w:rsidP="00DD794A">
      <w:pPr>
        <w:spacing w:before="120" w:after="120" w:line="240" w:lineRule="auto"/>
        <w:ind w:firstLine="708"/>
        <w:jc w:val="both"/>
        <w:rPr>
          <w:rFonts w:ascii="Times New Roman" w:hAnsi="Times New Roman" w:cs="Times New Roman"/>
          <w:sz w:val="24"/>
          <w:szCs w:val="24"/>
        </w:rPr>
      </w:pPr>
      <w:r w:rsidRPr="00AB0274">
        <w:rPr>
          <w:rFonts w:ascii="Times New Roman" w:hAnsi="Times New Roman" w:cs="Times New Roman"/>
          <w:sz w:val="24"/>
          <w:szCs w:val="24"/>
        </w:rPr>
        <w:t>La muestra total (</w:t>
      </w:r>
      <w:r w:rsidRPr="00AB0274">
        <w:rPr>
          <w:rFonts w:ascii="Times New Roman" w:hAnsi="Times New Roman" w:cs="Times New Roman"/>
          <w:i/>
          <w:sz w:val="24"/>
          <w:szCs w:val="24"/>
        </w:rPr>
        <w:t>n=</w:t>
      </w:r>
      <w:r w:rsidRPr="00AB0274">
        <w:rPr>
          <w:rFonts w:ascii="Times New Roman" w:hAnsi="Times New Roman" w:cs="Times New Roman"/>
          <w:sz w:val="24"/>
          <w:szCs w:val="24"/>
        </w:rPr>
        <w:t>350) se obtuvo mediante el muestreo probabilístico estratificado con afijación proporciona</w:t>
      </w:r>
      <w:r w:rsidR="009032AA">
        <w:rPr>
          <w:rFonts w:ascii="Times New Roman" w:hAnsi="Times New Roman" w:cs="Times New Roman"/>
          <w:sz w:val="24"/>
          <w:szCs w:val="24"/>
        </w:rPr>
        <w:t>l,</w:t>
      </w:r>
      <w:r w:rsidRPr="00AB0274">
        <w:rPr>
          <w:rFonts w:ascii="Times New Roman" w:hAnsi="Times New Roman" w:cs="Times New Roman"/>
          <w:sz w:val="24"/>
          <w:szCs w:val="24"/>
        </w:rPr>
        <w:t xml:space="preserve"> para lograrlo, se consideró el total de alumnos que cursan la etapa disciplinar como población, esto es, 1490 estudiantes que están en asignaturas consideradas clínicas. Se definieron los porcentajes que correspondían a cada estrato y se hizo el cálculo de la muestra con universo finito. Mediante una lista de matrículas se seleccionaron los participantes que al interior de cada estrato serían considerados en el estudio.</w:t>
      </w:r>
    </w:p>
    <w:p w14:paraId="7E70F22D" w14:textId="77777777" w:rsidR="000C10D1" w:rsidRPr="009032AA" w:rsidRDefault="000C10D1" w:rsidP="00DD794A">
      <w:pPr>
        <w:spacing w:before="120" w:after="120" w:line="240" w:lineRule="auto"/>
        <w:jc w:val="both"/>
        <w:rPr>
          <w:rFonts w:ascii="Times New Roman" w:hAnsi="Times New Roman" w:cs="Times New Roman"/>
          <w:b/>
          <w:i/>
          <w:sz w:val="24"/>
          <w:szCs w:val="24"/>
        </w:rPr>
      </w:pPr>
      <w:r w:rsidRPr="00AB0274">
        <w:rPr>
          <w:rFonts w:ascii="Times New Roman" w:hAnsi="Times New Roman" w:cs="Times New Roman"/>
          <w:sz w:val="24"/>
          <w:szCs w:val="24"/>
        </w:rPr>
        <w:tab/>
      </w:r>
      <w:r w:rsidRPr="009032AA">
        <w:rPr>
          <w:rFonts w:ascii="Times New Roman" w:hAnsi="Times New Roman" w:cs="Times New Roman"/>
          <w:b/>
          <w:i/>
          <w:sz w:val="24"/>
          <w:szCs w:val="24"/>
        </w:rPr>
        <w:t>Materiales</w:t>
      </w:r>
    </w:p>
    <w:p w14:paraId="7E70F22E" w14:textId="77777777" w:rsidR="000C10D1" w:rsidRPr="00AB0274" w:rsidRDefault="000C10D1" w:rsidP="00DD794A">
      <w:pPr>
        <w:pStyle w:val="Textonotapie"/>
        <w:spacing w:before="120" w:after="120" w:line="240" w:lineRule="auto"/>
        <w:ind w:firstLine="708"/>
        <w:jc w:val="both"/>
        <w:rPr>
          <w:rFonts w:ascii="Times New Roman" w:hAnsi="Times New Roman"/>
          <w:sz w:val="24"/>
          <w:szCs w:val="24"/>
          <w:lang w:val="es-MX"/>
        </w:rPr>
      </w:pPr>
      <w:r w:rsidRPr="00AB0274">
        <w:rPr>
          <w:rFonts w:ascii="Times New Roman" w:hAnsi="Times New Roman"/>
          <w:sz w:val="24"/>
          <w:szCs w:val="24"/>
          <w:lang w:val="es-MX"/>
        </w:rPr>
        <w:t xml:space="preserve">Se utilizó el cuestionario de evaluación de las competencias de supervisión clínica en medicina diseñado en esta investigación como único material. El cuestionario se divide en cinco factores y 38 </w:t>
      </w:r>
      <w:r w:rsidR="002E4DF9">
        <w:rPr>
          <w:rFonts w:ascii="Times New Roman" w:hAnsi="Times New Roman"/>
          <w:sz w:val="24"/>
          <w:szCs w:val="24"/>
          <w:lang w:val="es-MX"/>
        </w:rPr>
        <w:t>ítems</w:t>
      </w:r>
      <w:r w:rsidRPr="00AB0274">
        <w:rPr>
          <w:rFonts w:ascii="Times New Roman" w:hAnsi="Times New Roman"/>
          <w:sz w:val="24"/>
          <w:szCs w:val="24"/>
          <w:lang w:val="es-MX"/>
        </w:rPr>
        <w:t xml:space="preserve"> en una escala ordinal tipo Likert de cuatro opciones de respuesta (nunca, casi nunca, algunas veces y siempre). </w:t>
      </w:r>
    </w:p>
    <w:p w14:paraId="7E70F22F" w14:textId="77777777" w:rsidR="006B3E6A" w:rsidRPr="004770A9" w:rsidRDefault="006B3E6A" w:rsidP="00DD794A">
      <w:pPr>
        <w:pStyle w:val="Textonotapie"/>
        <w:spacing w:before="120" w:after="120" w:line="240" w:lineRule="auto"/>
        <w:jc w:val="both"/>
        <w:rPr>
          <w:rFonts w:ascii="Times New Roman" w:hAnsi="Times New Roman"/>
          <w:b/>
          <w:i/>
          <w:sz w:val="24"/>
          <w:szCs w:val="24"/>
          <w:lang w:val="es-MX"/>
        </w:rPr>
      </w:pPr>
      <w:r w:rsidRPr="00AB0274">
        <w:rPr>
          <w:rFonts w:ascii="Times New Roman" w:hAnsi="Times New Roman"/>
          <w:sz w:val="24"/>
          <w:szCs w:val="24"/>
          <w:lang w:val="es-MX"/>
        </w:rPr>
        <w:tab/>
      </w:r>
      <w:r w:rsidRPr="004770A9">
        <w:rPr>
          <w:rFonts w:ascii="Times New Roman" w:hAnsi="Times New Roman"/>
          <w:b/>
          <w:i/>
          <w:sz w:val="24"/>
          <w:szCs w:val="24"/>
          <w:lang w:val="es-MX"/>
        </w:rPr>
        <w:t>Procedimiento</w:t>
      </w:r>
    </w:p>
    <w:p w14:paraId="7E70F230" w14:textId="77777777" w:rsidR="00430DBC" w:rsidRPr="00AB0274" w:rsidRDefault="00430DBC" w:rsidP="00DD794A">
      <w:pPr>
        <w:pStyle w:val="Default"/>
        <w:spacing w:before="120" w:after="120"/>
        <w:ind w:firstLine="708"/>
        <w:jc w:val="both"/>
        <w:rPr>
          <w:rFonts w:ascii="Times New Roman" w:hAnsi="Times New Roman" w:cs="Times New Roman"/>
          <w:lang w:val="es-MX"/>
        </w:rPr>
      </w:pPr>
      <w:r w:rsidRPr="00AB0274">
        <w:rPr>
          <w:rFonts w:ascii="Times New Roman" w:hAnsi="Times New Roman" w:cs="Times New Roman"/>
          <w:lang w:val="es-MX"/>
        </w:rPr>
        <w:t>E</w:t>
      </w:r>
      <w:r w:rsidR="00F11A8B">
        <w:rPr>
          <w:rFonts w:ascii="Times New Roman" w:hAnsi="Times New Roman" w:cs="Times New Roman"/>
          <w:lang w:val="es-MX"/>
        </w:rPr>
        <w:t>n esta fase se desarrolló</w:t>
      </w:r>
      <w:r w:rsidRPr="00AB0274">
        <w:rPr>
          <w:rFonts w:ascii="Times New Roman" w:hAnsi="Times New Roman" w:cs="Times New Roman"/>
          <w:lang w:val="es-MX"/>
        </w:rPr>
        <w:t xml:space="preserve"> la versión final del cuestionario y consta de cuatro pasos: (i) la aplicación del cuestionario a una muestra estadísticamente representativa; (ii) la captura de los registros producto de la aplicación; (iii) un proceso de validación cruzada: un Análisis Factorial Exploratorio con una mitad de la muestra y un Análisis Factorial Confirmatorio con la otra mitad; y (iv) una propuesta de procedimiento para interpretar los resultados de la aplicación del cuestionario.</w:t>
      </w:r>
    </w:p>
    <w:p w14:paraId="7E70F231" w14:textId="77777777" w:rsidR="00AD6F2A" w:rsidRPr="00AB0274" w:rsidRDefault="00AD6F2A" w:rsidP="00DD794A">
      <w:pPr>
        <w:spacing w:before="120" w:after="120" w:line="240" w:lineRule="auto"/>
        <w:ind w:firstLine="708"/>
        <w:jc w:val="both"/>
        <w:rPr>
          <w:rFonts w:ascii="Times New Roman" w:hAnsi="Times New Roman" w:cs="Times New Roman"/>
          <w:sz w:val="24"/>
          <w:szCs w:val="24"/>
        </w:rPr>
      </w:pPr>
      <w:r w:rsidRPr="00AB0274">
        <w:rPr>
          <w:rFonts w:ascii="Times New Roman" w:hAnsi="Times New Roman" w:cs="Times New Roman"/>
          <w:sz w:val="24"/>
          <w:szCs w:val="24"/>
        </w:rPr>
        <w:t xml:space="preserve">En este sentido, con la mitad de la muestra se llevó a cabo el Análisis Factorial Exploratorio (AFE) con base en las cinco dimensiones que originalmente se </w:t>
      </w:r>
      <w:r w:rsidR="002E4DF9">
        <w:rPr>
          <w:rFonts w:ascii="Times New Roman" w:hAnsi="Times New Roman" w:cs="Times New Roman"/>
          <w:sz w:val="24"/>
          <w:szCs w:val="24"/>
        </w:rPr>
        <w:t>diseñaron en la matriz de especifica</w:t>
      </w:r>
      <w:r w:rsidRPr="00AB0274">
        <w:rPr>
          <w:rFonts w:ascii="Times New Roman" w:hAnsi="Times New Roman" w:cs="Times New Roman"/>
          <w:sz w:val="24"/>
          <w:szCs w:val="24"/>
        </w:rPr>
        <w:t xml:space="preserve">ción, sin embargo, los datos señalaron que no era la estructura ideal, de modo que se llevó a cabo un AFE libre para definir el número óptimo de factores. Con la otra mitad de la muestra se realizó un </w:t>
      </w:r>
      <w:r w:rsidR="00216186" w:rsidRPr="00AB0274">
        <w:rPr>
          <w:rFonts w:ascii="Times New Roman" w:hAnsi="Times New Roman" w:cs="Times New Roman"/>
          <w:sz w:val="24"/>
          <w:szCs w:val="24"/>
        </w:rPr>
        <w:t>Análisis</w:t>
      </w:r>
      <w:r w:rsidRPr="00AB0274">
        <w:rPr>
          <w:rFonts w:ascii="Times New Roman" w:hAnsi="Times New Roman" w:cs="Times New Roman"/>
          <w:sz w:val="24"/>
          <w:szCs w:val="24"/>
        </w:rPr>
        <w:t xml:space="preserve"> Factorial Confirmatorio (AFC)</w:t>
      </w:r>
    </w:p>
    <w:p w14:paraId="7E70F232" w14:textId="77777777" w:rsidR="006B3E6A" w:rsidRPr="00AB0274" w:rsidRDefault="00430DBC" w:rsidP="00DD794A">
      <w:pPr>
        <w:pStyle w:val="Textonotapie"/>
        <w:spacing w:before="120" w:after="120" w:line="240" w:lineRule="auto"/>
        <w:jc w:val="both"/>
        <w:rPr>
          <w:rFonts w:ascii="Times New Roman" w:hAnsi="Times New Roman"/>
          <w:b/>
          <w:sz w:val="24"/>
          <w:szCs w:val="24"/>
          <w:lang w:val="es-MX"/>
        </w:rPr>
      </w:pPr>
      <w:r w:rsidRPr="00AB0274">
        <w:rPr>
          <w:rFonts w:ascii="Times New Roman" w:hAnsi="Times New Roman"/>
          <w:b/>
          <w:sz w:val="24"/>
          <w:szCs w:val="24"/>
          <w:lang w:val="es-MX"/>
        </w:rPr>
        <w:t>Resultados</w:t>
      </w:r>
    </w:p>
    <w:p w14:paraId="7E70F233" w14:textId="77777777" w:rsidR="008565CE" w:rsidRPr="00AB0274" w:rsidRDefault="008565CE" w:rsidP="00DD794A">
      <w:pPr>
        <w:spacing w:before="120" w:after="120" w:line="240" w:lineRule="auto"/>
        <w:ind w:firstLine="708"/>
        <w:jc w:val="both"/>
        <w:rPr>
          <w:rFonts w:ascii="Times New Roman" w:hAnsi="Times New Roman" w:cs="Times New Roman"/>
          <w:sz w:val="24"/>
          <w:szCs w:val="24"/>
        </w:rPr>
      </w:pPr>
      <w:r w:rsidRPr="00AB0274">
        <w:rPr>
          <w:rFonts w:ascii="Times New Roman" w:hAnsi="Times New Roman" w:cs="Times New Roman"/>
          <w:sz w:val="24"/>
          <w:szCs w:val="24"/>
        </w:rPr>
        <w:t>El objetivo general y los objetivos específicos de la investigación se lograron mediante el desarrollo del cuestionario de evaluación formativa de las competencias de los supervisores clínicos en medicina. El proceso de construcción evidenció la sistematicidad y rigurosidad científica con la que se alcanzó el producto. Con el propósito de consistencia, se presentan a continuación los resultados para cada estudio.</w:t>
      </w:r>
    </w:p>
    <w:p w14:paraId="7E70F234" w14:textId="77777777" w:rsidR="008565CE" w:rsidRPr="00AB0274" w:rsidRDefault="008565CE" w:rsidP="00DD794A">
      <w:pPr>
        <w:spacing w:before="120" w:after="120" w:line="240" w:lineRule="auto"/>
        <w:ind w:firstLine="708"/>
        <w:jc w:val="both"/>
        <w:rPr>
          <w:rFonts w:ascii="Times New Roman" w:hAnsi="Times New Roman" w:cs="Times New Roman"/>
          <w:b/>
          <w:sz w:val="24"/>
          <w:szCs w:val="24"/>
        </w:rPr>
      </w:pPr>
      <w:r w:rsidRPr="00AB0274">
        <w:rPr>
          <w:rFonts w:ascii="Times New Roman" w:hAnsi="Times New Roman" w:cs="Times New Roman"/>
          <w:b/>
          <w:sz w:val="24"/>
          <w:szCs w:val="24"/>
        </w:rPr>
        <w:t xml:space="preserve">Estudio 1. </w:t>
      </w:r>
      <w:r w:rsidR="0051521B" w:rsidRPr="00AB0274">
        <w:rPr>
          <w:rFonts w:ascii="Times New Roman" w:hAnsi="Times New Roman" w:cs="Times New Roman"/>
          <w:b/>
          <w:sz w:val="24"/>
          <w:szCs w:val="24"/>
        </w:rPr>
        <w:t>Exploración del contexto</w:t>
      </w:r>
    </w:p>
    <w:p w14:paraId="7E70F235" w14:textId="77777777" w:rsidR="000E7CF8" w:rsidRPr="00AB0274" w:rsidRDefault="000E7CF8" w:rsidP="00DD794A">
      <w:pPr>
        <w:spacing w:before="120" w:after="120" w:line="240" w:lineRule="auto"/>
        <w:ind w:firstLine="708"/>
        <w:jc w:val="both"/>
        <w:rPr>
          <w:rFonts w:ascii="Times New Roman" w:hAnsi="Times New Roman" w:cs="Times New Roman"/>
          <w:sz w:val="24"/>
          <w:szCs w:val="24"/>
        </w:rPr>
      </w:pPr>
      <w:r w:rsidRPr="00AB0274">
        <w:rPr>
          <w:rFonts w:ascii="Times New Roman" w:hAnsi="Times New Roman" w:cs="Times New Roman"/>
          <w:sz w:val="24"/>
          <w:szCs w:val="24"/>
        </w:rPr>
        <w:t xml:space="preserve">La Licenciatura en Medicina analizada está organizada en tres etapas: una etapa introductoria básica que se desarrolla casi exclusivamente en las aulas de la facultad, una segunda etapa de carácter disciplinar que se desarrolla predominantemente en los campos clínicos (atención directa a pacientes) y una tercera etapa terminal que corresponde al internado rotatorio de pregrado que se desarrolla por completo en las instituciones de salud </w:t>
      </w:r>
      <w:r w:rsidRPr="00AB0274">
        <w:rPr>
          <w:rFonts w:ascii="Times New Roman" w:hAnsi="Times New Roman" w:cs="Times New Roman"/>
          <w:sz w:val="24"/>
          <w:szCs w:val="24"/>
        </w:rPr>
        <w:lastRenderedPageBreak/>
        <w:t>sede. Cabe señalar que los cursos en los que se atiende directamente a pacientes bajo la supervisión de un especialista están presentes a lo largo de las tres etapas, siendo la segunda etapa la que concentra el mayor número de cursos y en la que se ha centrado la investigación.</w:t>
      </w:r>
    </w:p>
    <w:p w14:paraId="7E70F236" w14:textId="77777777" w:rsidR="000E7CF8" w:rsidRPr="00AB0274" w:rsidRDefault="000E7CF8" w:rsidP="00DD794A">
      <w:pPr>
        <w:spacing w:before="120" w:after="120" w:line="240" w:lineRule="auto"/>
        <w:jc w:val="both"/>
        <w:rPr>
          <w:rFonts w:ascii="Times New Roman" w:hAnsi="Times New Roman" w:cs="Times New Roman"/>
          <w:sz w:val="24"/>
          <w:szCs w:val="24"/>
        </w:rPr>
      </w:pPr>
      <w:r w:rsidRPr="00AB0274">
        <w:rPr>
          <w:rFonts w:ascii="Times New Roman" w:hAnsi="Times New Roman" w:cs="Times New Roman"/>
          <w:sz w:val="24"/>
          <w:szCs w:val="24"/>
        </w:rPr>
        <w:tab/>
        <w:t xml:space="preserve">Esta forma de organización curricular es consistente con lo argumentado por </w:t>
      </w:r>
      <w:proofErr w:type="spellStart"/>
      <w:r w:rsidRPr="00AB0274">
        <w:rPr>
          <w:rFonts w:ascii="Times New Roman" w:hAnsi="Times New Roman" w:cs="Times New Roman"/>
          <w:sz w:val="24"/>
          <w:szCs w:val="24"/>
        </w:rPr>
        <w:t>Hamui</w:t>
      </w:r>
      <w:proofErr w:type="spellEnd"/>
      <w:r w:rsidRPr="00AB0274">
        <w:rPr>
          <w:rFonts w:ascii="Times New Roman" w:hAnsi="Times New Roman" w:cs="Times New Roman"/>
          <w:sz w:val="24"/>
          <w:szCs w:val="24"/>
        </w:rPr>
        <w:t xml:space="preserve"> et al. (2012) sobre los tipos de actividades que se privilegian en la educación médica en México: actividades áulicas, actividades de laboratorio y actividades clínicas. Asimismo, existe un acuerdo en la literatura al considerar que la formación médica es un continuo que va desde la formación teórica introductoria, la formación metodológica intermedia y la práctica real avanzada (Miller, 1990; </w:t>
      </w:r>
      <w:proofErr w:type="spellStart"/>
      <w:r w:rsidRPr="00AB0274">
        <w:rPr>
          <w:rFonts w:ascii="Times New Roman" w:hAnsi="Times New Roman" w:cs="Times New Roman"/>
          <w:sz w:val="24"/>
          <w:szCs w:val="24"/>
        </w:rPr>
        <w:t>Fluit</w:t>
      </w:r>
      <w:proofErr w:type="spellEnd"/>
      <w:r w:rsidRPr="00AB0274">
        <w:rPr>
          <w:rFonts w:ascii="Times New Roman" w:hAnsi="Times New Roman" w:cs="Times New Roman"/>
          <w:sz w:val="24"/>
          <w:szCs w:val="24"/>
        </w:rPr>
        <w:t xml:space="preserve">, </w:t>
      </w:r>
      <w:proofErr w:type="spellStart"/>
      <w:r w:rsidRPr="00AB0274">
        <w:rPr>
          <w:rFonts w:ascii="Times New Roman" w:hAnsi="Times New Roman" w:cs="Times New Roman"/>
          <w:sz w:val="24"/>
          <w:szCs w:val="24"/>
        </w:rPr>
        <w:t>Bolhuis</w:t>
      </w:r>
      <w:proofErr w:type="spellEnd"/>
      <w:r w:rsidRPr="00AB0274">
        <w:rPr>
          <w:rFonts w:ascii="Times New Roman" w:hAnsi="Times New Roman" w:cs="Times New Roman"/>
          <w:sz w:val="24"/>
          <w:szCs w:val="24"/>
        </w:rPr>
        <w:t xml:space="preserve">, </w:t>
      </w:r>
      <w:proofErr w:type="spellStart"/>
      <w:r w:rsidRPr="00AB0274">
        <w:rPr>
          <w:rFonts w:ascii="Times New Roman" w:hAnsi="Times New Roman" w:cs="Times New Roman"/>
          <w:sz w:val="24"/>
          <w:szCs w:val="24"/>
        </w:rPr>
        <w:t>Grol</w:t>
      </w:r>
      <w:proofErr w:type="spellEnd"/>
      <w:r w:rsidRPr="00AB0274">
        <w:rPr>
          <w:rFonts w:ascii="Times New Roman" w:hAnsi="Times New Roman" w:cs="Times New Roman"/>
          <w:sz w:val="24"/>
          <w:szCs w:val="24"/>
        </w:rPr>
        <w:t xml:space="preserve">, </w:t>
      </w:r>
      <w:proofErr w:type="spellStart"/>
      <w:r w:rsidRPr="00AB0274">
        <w:rPr>
          <w:rFonts w:ascii="Times New Roman" w:hAnsi="Times New Roman" w:cs="Times New Roman"/>
          <w:sz w:val="24"/>
          <w:szCs w:val="24"/>
        </w:rPr>
        <w:t>Laan</w:t>
      </w:r>
      <w:proofErr w:type="spellEnd"/>
      <w:r w:rsidRPr="00AB0274">
        <w:rPr>
          <w:rFonts w:ascii="Times New Roman" w:hAnsi="Times New Roman" w:cs="Times New Roman"/>
          <w:sz w:val="24"/>
          <w:szCs w:val="24"/>
        </w:rPr>
        <w:t xml:space="preserve">, y </w:t>
      </w:r>
      <w:proofErr w:type="spellStart"/>
      <w:r w:rsidRPr="00AB0274">
        <w:rPr>
          <w:rFonts w:ascii="Times New Roman" w:hAnsi="Times New Roman" w:cs="Times New Roman"/>
          <w:sz w:val="24"/>
          <w:szCs w:val="24"/>
        </w:rPr>
        <w:t>Wensing</w:t>
      </w:r>
      <w:proofErr w:type="spellEnd"/>
      <w:r w:rsidRPr="00AB0274">
        <w:rPr>
          <w:rFonts w:ascii="Times New Roman" w:hAnsi="Times New Roman" w:cs="Times New Roman"/>
          <w:sz w:val="24"/>
          <w:szCs w:val="24"/>
        </w:rPr>
        <w:t xml:space="preserve">, 2010; </w:t>
      </w:r>
      <w:proofErr w:type="spellStart"/>
      <w:r w:rsidRPr="00AB0274">
        <w:rPr>
          <w:rFonts w:ascii="Times New Roman" w:hAnsi="Times New Roman" w:cs="Times New Roman"/>
          <w:sz w:val="24"/>
          <w:szCs w:val="24"/>
        </w:rPr>
        <w:t>Lifshitz-Guinzberg</w:t>
      </w:r>
      <w:proofErr w:type="spellEnd"/>
      <w:r w:rsidRPr="00AB0274">
        <w:rPr>
          <w:rFonts w:ascii="Times New Roman" w:hAnsi="Times New Roman" w:cs="Times New Roman"/>
          <w:sz w:val="24"/>
          <w:szCs w:val="24"/>
        </w:rPr>
        <w:t xml:space="preserve">, 2012; Santana, </w:t>
      </w:r>
      <w:proofErr w:type="spellStart"/>
      <w:r w:rsidRPr="00AB0274">
        <w:rPr>
          <w:rFonts w:ascii="Times New Roman" w:hAnsi="Times New Roman" w:cs="Times New Roman"/>
          <w:sz w:val="24"/>
          <w:szCs w:val="24"/>
        </w:rPr>
        <w:t>Lifshitz-Guinzberg</w:t>
      </w:r>
      <w:proofErr w:type="spellEnd"/>
      <w:r w:rsidRPr="00AB0274">
        <w:rPr>
          <w:rFonts w:ascii="Times New Roman" w:hAnsi="Times New Roman" w:cs="Times New Roman"/>
          <w:sz w:val="24"/>
          <w:szCs w:val="24"/>
        </w:rPr>
        <w:t>, Castillo y Prieto, 2013).</w:t>
      </w:r>
    </w:p>
    <w:p w14:paraId="7E70F237" w14:textId="77777777" w:rsidR="000E7CF8" w:rsidRPr="00AB0274" w:rsidRDefault="000E7CF8" w:rsidP="00DD794A">
      <w:pPr>
        <w:spacing w:before="120" w:after="120" w:line="240" w:lineRule="auto"/>
        <w:jc w:val="both"/>
        <w:rPr>
          <w:rFonts w:ascii="Times New Roman" w:hAnsi="Times New Roman" w:cs="Times New Roman"/>
          <w:sz w:val="24"/>
          <w:szCs w:val="24"/>
        </w:rPr>
      </w:pPr>
      <w:r w:rsidRPr="00AB0274">
        <w:rPr>
          <w:rFonts w:ascii="Times New Roman" w:hAnsi="Times New Roman" w:cs="Times New Roman"/>
          <w:sz w:val="24"/>
          <w:szCs w:val="24"/>
        </w:rPr>
        <w:tab/>
        <w:t>En la literatura analizada se encontraron argumentos concordantes con los resultados del estudio exploratorio: existe escasa evidencia empírica sobre los procesos didácticos y evaluativos que se desarrollan en la supervisión clínica de la medicina, y casi no existe un debate académico en torno a esta escasez de evidencias (</w:t>
      </w:r>
      <w:proofErr w:type="spellStart"/>
      <w:r w:rsidRPr="00AB0274">
        <w:rPr>
          <w:rFonts w:ascii="Times New Roman" w:hAnsi="Times New Roman" w:cs="Times New Roman"/>
          <w:sz w:val="24"/>
          <w:szCs w:val="24"/>
        </w:rPr>
        <w:t>Fluit</w:t>
      </w:r>
      <w:proofErr w:type="spellEnd"/>
      <w:r w:rsidRPr="00AB0274">
        <w:rPr>
          <w:rFonts w:ascii="Times New Roman" w:hAnsi="Times New Roman" w:cs="Times New Roman"/>
          <w:sz w:val="24"/>
          <w:szCs w:val="24"/>
        </w:rPr>
        <w:t xml:space="preserve"> et al., 2010; Gómez, Rosales y Vázquez, 2014).</w:t>
      </w:r>
    </w:p>
    <w:p w14:paraId="7E70F238" w14:textId="77777777" w:rsidR="000E7CF8" w:rsidRPr="00AB0274" w:rsidRDefault="000E7CF8" w:rsidP="00DD794A">
      <w:pPr>
        <w:spacing w:before="120" w:after="120" w:line="240" w:lineRule="auto"/>
        <w:jc w:val="both"/>
        <w:rPr>
          <w:rFonts w:ascii="Times New Roman" w:hAnsi="Times New Roman" w:cs="Times New Roman"/>
          <w:sz w:val="24"/>
          <w:szCs w:val="24"/>
        </w:rPr>
      </w:pPr>
      <w:r w:rsidRPr="00AB0274">
        <w:rPr>
          <w:rFonts w:ascii="Times New Roman" w:hAnsi="Times New Roman" w:cs="Times New Roman"/>
          <w:sz w:val="24"/>
          <w:szCs w:val="24"/>
        </w:rPr>
        <w:tab/>
        <w:t>El modelaje es la estrategia didáctica por excelencia en la enseñanza clínica de la Licenciatura en Medicina. A través del modelaje, los expertos muestran los procedimientos clínicos para posteriormente ceder de forma gradual la ejecución del tratamiento, brindando en todo momento la retroalimentación necesaria para el mejoramiento continuo del desempeño de los supervisados.</w:t>
      </w:r>
    </w:p>
    <w:p w14:paraId="7E70F239" w14:textId="77777777" w:rsidR="000E7CF8" w:rsidRPr="00AB0274" w:rsidRDefault="000E7CF8" w:rsidP="00DD794A">
      <w:pPr>
        <w:spacing w:before="120" w:after="120" w:line="240" w:lineRule="auto"/>
        <w:ind w:firstLine="708"/>
        <w:jc w:val="both"/>
        <w:rPr>
          <w:rFonts w:ascii="Times New Roman" w:hAnsi="Times New Roman" w:cs="Times New Roman"/>
          <w:sz w:val="24"/>
          <w:szCs w:val="24"/>
        </w:rPr>
      </w:pPr>
      <w:r w:rsidRPr="00AB0274">
        <w:rPr>
          <w:rFonts w:ascii="Times New Roman" w:hAnsi="Times New Roman" w:cs="Times New Roman"/>
          <w:sz w:val="24"/>
          <w:szCs w:val="24"/>
        </w:rPr>
        <w:t>De acuerdo con los entrevistados, las principales áreas de oportunidad se pueden subsumir en la necesidad de documentar sistemáticamente las actividades que se desarrollan en la supervisión clínica. No se encontraron evidencias de la planificación didáctica de la supervisión clínica y sigue existiendo resistencia por parte de los supervisores para desarrollarlo. El proceso de evaluación de los aprendizajes también carece de sistematicidad.</w:t>
      </w:r>
    </w:p>
    <w:p w14:paraId="7E70F23A" w14:textId="77777777" w:rsidR="0044071C" w:rsidRPr="00AB0274" w:rsidRDefault="000E7CF8" w:rsidP="00DD794A">
      <w:pPr>
        <w:spacing w:before="120" w:after="120" w:line="240" w:lineRule="auto"/>
        <w:ind w:firstLine="708"/>
        <w:jc w:val="both"/>
        <w:rPr>
          <w:rFonts w:ascii="Times New Roman" w:hAnsi="Times New Roman" w:cs="Times New Roman"/>
          <w:sz w:val="24"/>
          <w:szCs w:val="24"/>
        </w:rPr>
      </w:pPr>
      <w:r w:rsidRPr="00AB0274">
        <w:rPr>
          <w:rFonts w:ascii="Times New Roman" w:hAnsi="Times New Roman" w:cs="Times New Roman"/>
          <w:sz w:val="24"/>
          <w:szCs w:val="24"/>
        </w:rPr>
        <w:t xml:space="preserve">Los supervisores clínicos de la Licenciatura en Medicina valoran como el elemento central de su labor la atención profesional, oportuna y humana a los pacientes en condición de enfermedad. Asimismo, asumen la responsabilidad de la transmisión del </w:t>
      </w:r>
      <w:r w:rsidRPr="00AB0274">
        <w:rPr>
          <w:rFonts w:ascii="Times New Roman" w:hAnsi="Times New Roman" w:cs="Times New Roman"/>
          <w:i/>
          <w:sz w:val="24"/>
          <w:szCs w:val="24"/>
        </w:rPr>
        <w:t>arquetipo de médico</w:t>
      </w:r>
      <w:r w:rsidRPr="00AB0274">
        <w:rPr>
          <w:rFonts w:ascii="Times New Roman" w:hAnsi="Times New Roman" w:cs="Times New Roman"/>
          <w:sz w:val="24"/>
          <w:szCs w:val="24"/>
        </w:rPr>
        <w:t xml:space="preserve">: la reproducción del estilo de vida del médico, incluyendo la apariencia física y el mantenimiento del prestigio social. </w:t>
      </w:r>
    </w:p>
    <w:p w14:paraId="7E70F23B" w14:textId="77777777" w:rsidR="0044071C" w:rsidRPr="00AB0274" w:rsidRDefault="0044071C" w:rsidP="00DD794A">
      <w:pPr>
        <w:spacing w:before="120" w:after="120" w:line="240" w:lineRule="auto"/>
        <w:ind w:firstLine="708"/>
        <w:jc w:val="both"/>
        <w:rPr>
          <w:rFonts w:ascii="Times New Roman" w:hAnsi="Times New Roman" w:cs="Times New Roman"/>
          <w:b/>
          <w:sz w:val="24"/>
          <w:szCs w:val="24"/>
        </w:rPr>
      </w:pPr>
      <w:r w:rsidRPr="00AB0274">
        <w:rPr>
          <w:rFonts w:ascii="Times New Roman" w:hAnsi="Times New Roman" w:cs="Times New Roman"/>
          <w:b/>
          <w:sz w:val="24"/>
          <w:szCs w:val="24"/>
        </w:rPr>
        <w:t>Estudio 2.</w:t>
      </w:r>
      <w:r w:rsidRPr="00AB0274">
        <w:rPr>
          <w:rFonts w:ascii="Times New Roman" w:hAnsi="Times New Roman" w:cs="Times New Roman"/>
          <w:sz w:val="24"/>
          <w:szCs w:val="24"/>
        </w:rPr>
        <w:t xml:space="preserve"> </w:t>
      </w:r>
      <w:r w:rsidRPr="00AB0274">
        <w:rPr>
          <w:rFonts w:ascii="Times New Roman" w:hAnsi="Times New Roman" w:cs="Times New Roman"/>
          <w:b/>
          <w:sz w:val="24"/>
          <w:szCs w:val="24"/>
        </w:rPr>
        <w:t>Diseño del cuestionario de evaluación</w:t>
      </w:r>
    </w:p>
    <w:p w14:paraId="7E70F23C" w14:textId="77777777" w:rsidR="00627905" w:rsidRPr="00AB0274" w:rsidRDefault="00627905" w:rsidP="00DD794A">
      <w:pPr>
        <w:spacing w:before="120" w:after="120" w:line="240" w:lineRule="auto"/>
        <w:ind w:firstLine="708"/>
        <w:jc w:val="both"/>
        <w:rPr>
          <w:rFonts w:ascii="Times New Roman" w:hAnsi="Times New Roman" w:cs="Times New Roman"/>
          <w:i/>
          <w:sz w:val="24"/>
          <w:szCs w:val="24"/>
        </w:rPr>
      </w:pPr>
      <w:r w:rsidRPr="00AB0274">
        <w:rPr>
          <w:rFonts w:ascii="Times New Roman" w:hAnsi="Times New Roman" w:cs="Times New Roman"/>
          <w:i/>
          <w:sz w:val="24"/>
          <w:szCs w:val="24"/>
        </w:rPr>
        <w:t xml:space="preserve">Fase 1. Diseño de la </w:t>
      </w:r>
      <w:r w:rsidR="002E4DF9">
        <w:rPr>
          <w:rFonts w:ascii="Times New Roman" w:hAnsi="Times New Roman" w:cs="Times New Roman"/>
          <w:i/>
          <w:sz w:val="24"/>
          <w:szCs w:val="24"/>
        </w:rPr>
        <w:t>matriz de especifica</w:t>
      </w:r>
      <w:r w:rsidRPr="00AB0274">
        <w:rPr>
          <w:rFonts w:ascii="Times New Roman" w:hAnsi="Times New Roman" w:cs="Times New Roman"/>
          <w:i/>
          <w:sz w:val="24"/>
          <w:szCs w:val="24"/>
        </w:rPr>
        <w:t>ción del cuestionario</w:t>
      </w:r>
    </w:p>
    <w:p w14:paraId="7E70F23D" w14:textId="77777777" w:rsidR="007B2B09" w:rsidRPr="00AB0274" w:rsidRDefault="007B2B09" w:rsidP="00DD794A">
      <w:pPr>
        <w:spacing w:before="120" w:after="120" w:line="240" w:lineRule="auto"/>
        <w:ind w:firstLine="708"/>
        <w:jc w:val="both"/>
        <w:rPr>
          <w:rFonts w:ascii="Times New Roman" w:hAnsi="Times New Roman" w:cs="Times New Roman"/>
          <w:sz w:val="24"/>
          <w:szCs w:val="24"/>
        </w:rPr>
      </w:pPr>
      <w:r w:rsidRPr="00AB0274">
        <w:rPr>
          <w:rFonts w:ascii="Times New Roman" w:hAnsi="Times New Roman" w:cs="Times New Roman"/>
          <w:sz w:val="24"/>
          <w:szCs w:val="24"/>
        </w:rPr>
        <w:t>El resultado de es</w:t>
      </w:r>
      <w:r w:rsidR="002E4DF9">
        <w:rPr>
          <w:rFonts w:ascii="Times New Roman" w:hAnsi="Times New Roman" w:cs="Times New Roman"/>
          <w:sz w:val="24"/>
          <w:szCs w:val="24"/>
        </w:rPr>
        <w:t>ta fase fue una matriz de especifica</w:t>
      </w:r>
      <w:r w:rsidRPr="00AB0274">
        <w:rPr>
          <w:rFonts w:ascii="Times New Roman" w:hAnsi="Times New Roman" w:cs="Times New Roman"/>
          <w:sz w:val="24"/>
          <w:szCs w:val="24"/>
        </w:rPr>
        <w:t xml:space="preserve">ción integrada por cinco competencias y 60 </w:t>
      </w:r>
      <w:r w:rsidR="002E4DF9">
        <w:rPr>
          <w:rFonts w:ascii="Times New Roman" w:hAnsi="Times New Roman" w:cs="Times New Roman"/>
          <w:sz w:val="24"/>
          <w:szCs w:val="24"/>
        </w:rPr>
        <w:t>ítems</w:t>
      </w:r>
      <w:r w:rsidRPr="00AB0274">
        <w:rPr>
          <w:rFonts w:ascii="Times New Roman" w:hAnsi="Times New Roman" w:cs="Times New Roman"/>
          <w:sz w:val="24"/>
          <w:szCs w:val="24"/>
        </w:rPr>
        <w:t>, como se muestra en la tabla 1.</w:t>
      </w:r>
    </w:p>
    <w:p w14:paraId="7E70F23E" w14:textId="77777777" w:rsidR="007B2B09" w:rsidRPr="00DD794A" w:rsidRDefault="007B2B09" w:rsidP="00DD794A">
      <w:pPr>
        <w:spacing w:after="0" w:line="240" w:lineRule="auto"/>
        <w:jc w:val="both"/>
        <w:rPr>
          <w:rFonts w:ascii="Times New Roman" w:hAnsi="Times New Roman" w:cs="Times New Roman"/>
          <w:b/>
          <w:sz w:val="24"/>
          <w:szCs w:val="24"/>
        </w:rPr>
      </w:pPr>
      <w:r w:rsidRPr="00DD794A">
        <w:rPr>
          <w:rFonts w:ascii="Times New Roman" w:hAnsi="Times New Roman" w:cs="Times New Roman"/>
          <w:b/>
          <w:sz w:val="24"/>
          <w:szCs w:val="24"/>
        </w:rPr>
        <w:t>Tabla 1</w:t>
      </w:r>
    </w:p>
    <w:p w14:paraId="7E70F23F" w14:textId="77777777" w:rsidR="007B2B09" w:rsidRPr="00DD794A" w:rsidRDefault="007B2B09" w:rsidP="00DD794A">
      <w:pPr>
        <w:spacing w:after="0" w:line="240" w:lineRule="auto"/>
        <w:jc w:val="both"/>
        <w:rPr>
          <w:rFonts w:ascii="Times New Roman" w:hAnsi="Times New Roman" w:cs="Times New Roman"/>
          <w:i/>
          <w:sz w:val="24"/>
          <w:szCs w:val="24"/>
        </w:rPr>
      </w:pPr>
      <w:r w:rsidRPr="00DD794A">
        <w:rPr>
          <w:rFonts w:ascii="Times New Roman" w:hAnsi="Times New Roman" w:cs="Times New Roman"/>
          <w:i/>
          <w:sz w:val="24"/>
          <w:szCs w:val="24"/>
        </w:rPr>
        <w:t xml:space="preserve">Elementos </w:t>
      </w:r>
      <w:r w:rsidR="002E4DF9">
        <w:rPr>
          <w:rFonts w:ascii="Times New Roman" w:hAnsi="Times New Roman" w:cs="Times New Roman"/>
          <w:i/>
          <w:sz w:val="24"/>
          <w:szCs w:val="24"/>
        </w:rPr>
        <w:t>que integran la matriz de especifica</w:t>
      </w:r>
      <w:r w:rsidRPr="00DD794A">
        <w:rPr>
          <w:rFonts w:ascii="Times New Roman" w:hAnsi="Times New Roman" w:cs="Times New Roman"/>
          <w:i/>
          <w:sz w:val="24"/>
          <w:szCs w:val="24"/>
        </w:rPr>
        <w:t>ción del cuestionario</w:t>
      </w:r>
    </w:p>
    <w:tbl>
      <w:tblPr>
        <w:tblStyle w:val="Tablaconcuadrcula"/>
        <w:tblW w:w="0" w:type="auto"/>
        <w:tblBorders>
          <w:left w:val="none" w:sz="0" w:space="0" w:color="auto"/>
          <w:right w:val="none" w:sz="0" w:space="0" w:color="auto"/>
          <w:insideV w:val="none" w:sz="0" w:space="0" w:color="auto"/>
        </w:tblBorders>
        <w:shd w:val="clear" w:color="auto" w:fill="D5DCE4" w:themeFill="text2" w:themeFillTint="33"/>
        <w:tblLook w:val="04A0" w:firstRow="1" w:lastRow="0" w:firstColumn="1" w:lastColumn="0" w:noHBand="0" w:noVBand="1"/>
      </w:tblPr>
      <w:tblGrid>
        <w:gridCol w:w="2268"/>
        <w:gridCol w:w="5665"/>
        <w:gridCol w:w="895"/>
      </w:tblGrid>
      <w:tr w:rsidR="009032AA" w:rsidRPr="004770A9" w14:paraId="7E70F243" w14:textId="77777777" w:rsidTr="00FC7FF8">
        <w:tc>
          <w:tcPr>
            <w:tcW w:w="2268" w:type="dxa"/>
            <w:shd w:val="clear" w:color="auto" w:fill="D5DCE4" w:themeFill="text2" w:themeFillTint="33"/>
          </w:tcPr>
          <w:p w14:paraId="7E70F240" w14:textId="77777777" w:rsidR="007B2B09" w:rsidRPr="004770A9" w:rsidRDefault="007B2B09" w:rsidP="00DD794A">
            <w:pPr>
              <w:jc w:val="center"/>
              <w:rPr>
                <w:rFonts w:ascii="Times New Roman" w:hAnsi="Times New Roman" w:cs="Times New Roman"/>
                <w:b/>
                <w:sz w:val="20"/>
                <w:szCs w:val="20"/>
              </w:rPr>
            </w:pPr>
            <w:r w:rsidRPr="004770A9">
              <w:rPr>
                <w:rFonts w:ascii="Times New Roman" w:hAnsi="Times New Roman" w:cs="Times New Roman"/>
                <w:b/>
                <w:sz w:val="20"/>
                <w:szCs w:val="20"/>
              </w:rPr>
              <w:t>Competencia</w:t>
            </w:r>
          </w:p>
        </w:tc>
        <w:tc>
          <w:tcPr>
            <w:tcW w:w="5665" w:type="dxa"/>
            <w:shd w:val="clear" w:color="auto" w:fill="D5DCE4" w:themeFill="text2" w:themeFillTint="33"/>
          </w:tcPr>
          <w:p w14:paraId="7E70F241" w14:textId="77777777" w:rsidR="007B2B09" w:rsidRPr="004770A9" w:rsidRDefault="00E53A64" w:rsidP="00DD794A">
            <w:pPr>
              <w:jc w:val="center"/>
              <w:rPr>
                <w:rFonts w:ascii="Times New Roman" w:hAnsi="Times New Roman" w:cs="Times New Roman"/>
                <w:b/>
                <w:sz w:val="20"/>
                <w:szCs w:val="20"/>
              </w:rPr>
            </w:pPr>
            <w:r w:rsidRPr="004770A9">
              <w:rPr>
                <w:rFonts w:ascii="Times New Roman" w:hAnsi="Times New Roman" w:cs="Times New Roman"/>
                <w:b/>
                <w:sz w:val="20"/>
                <w:szCs w:val="20"/>
              </w:rPr>
              <w:t>Definición</w:t>
            </w:r>
          </w:p>
        </w:tc>
        <w:tc>
          <w:tcPr>
            <w:tcW w:w="895" w:type="dxa"/>
            <w:shd w:val="clear" w:color="auto" w:fill="D5DCE4" w:themeFill="text2" w:themeFillTint="33"/>
          </w:tcPr>
          <w:p w14:paraId="7E70F242" w14:textId="77777777" w:rsidR="007B2B09" w:rsidRPr="004770A9" w:rsidRDefault="00E53A64" w:rsidP="00DD794A">
            <w:pPr>
              <w:jc w:val="both"/>
              <w:rPr>
                <w:rFonts w:ascii="Times New Roman" w:hAnsi="Times New Roman" w:cs="Times New Roman"/>
                <w:b/>
                <w:sz w:val="20"/>
                <w:szCs w:val="20"/>
              </w:rPr>
            </w:pPr>
            <w:r w:rsidRPr="004770A9">
              <w:rPr>
                <w:rFonts w:ascii="Times New Roman" w:hAnsi="Times New Roman" w:cs="Times New Roman"/>
                <w:b/>
                <w:sz w:val="20"/>
                <w:szCs w:val="20"/>
              </w:rPr>
              <w:t>Ítems</w:t>
            </w:r>
          </w:p>
        </w:tc>
      </w:tr>
      <w:tr w:rsidR="009032AA" w:rsidRPr="004770A9" w14:paraId="7E70F247" w14:textId="77777777" w:rsidTr="00FC7FF8">
        <w:tc>
          <w:tcPr>
            <w:tcW w:w="2268" w:type="dxa"/>
            <w:shd w:val="clear" w:color="auto" w:fill="D5DCE4" w:themeFill="text2" w:themeFillTint="33"/>
          </w:tcPr>
          <w:p w14:paraId="7E70F244" w14:textId="77777777" w:rsidR="007B2B09" w:rsidRPr="004770A9" w:rsidRDefault="007B2B09" w:rsidP="00DD794A">
            <w:pPr>
              <w:jc w:val="both"/>
              <w:rPr>
                <w:rFonts w:ascii="Times New Roman" w:hAnsi="Times New Roman" w:cs="Times New Roman"/>
                <w:sz w:val="20"/>
                <w:szCs w:val="20"/>
              </w:rPr>
            </w:pPr>
            <w:r w:rsidRPr="004770A9">
              <w:rPr>
                <w:rFonts w:ascii="Times New Roman" w:hAnsi="Times New Roman" w:cs="Times New Roman"/>
                <w:sz w:val="20"/>
                <w:szCs w:val="20"/>
              </w:rPr>
              <w:t>Planear el programa de supervisión</w:t>
            </w:r>
          </w:p>
        </w:tc>
        <w:tc>
          <w:tcPr>
            <w:tcW w:w="5665" w:type="dxa"/>
            <w:shd w:val="clear" w:color="auto" w:fill="D5DCE4" w:themeFill="text2" w:themeFillTint="33"/>
          </w:tcPr>
          <w:p w14:paraId="7E70F245" w14:textId="77777777" w:rsidR="007B2B09" w:rsidRPr="004770A9" w:rsidRDefault="007B2B09" w:rsidP="00DD794A">
            <w:pPr>
              <w:jc w:val="both"/>
              <w:rPr>
                <w:rFonts w:ascii="Times New Roman" w:hAnsi="Times New Roman" w:cs="Times New Roman"/>
                <w:sz w:val="20"/>
                <w:szCs w:val="20"/>
              </w:rPr>
            </w:pPr>
            <w:r w:rsidRPr="004770A9">
              <w:rPr>
                <w:rFonts w:ascii="Times New Roman" w:hAnsi="Times New Roman" w:cs="Times New Roman"/>
                <w:sz w:val="20"/>
                <w:szCs w:val="20"/>
              </w:rPr>
              <w:t>Considera el establecimiento (adecuación) conjunto con el o los alumnos de las metas de la formación; los objetivos, las tareas, estrategias, el tiempo, el espacio, los recursos y criterios de evaluación a partir del programa de estudios y de las condiciones específicas de la institución.</w:t>
            </w:r>
          </w:p>
        </w:tc>
        <w:tc>
          <w:tcPr>
            <w:tcW w:w="895" w:type="dxa"/>
            <w:shd w:val="clear" w:color="auto" w:fill="D5DCE4" w:themeFill="text2" w:themeFillTint="33"/>
          </w:tcPr>
          <w:p w14:paraId="7E70F246" w14:textId="77777777" w:rsidR="007B2B09" w:rsidRPr="004770A9" w:rsidRDefault="00E53A64" w:rsidP="00DD794A">
            <w:pPr>
              <w:jc w:val="center"/>
              <w:rPr>
                <w:rFonts w:ascii="Times New Roman" w:hAnsi="Times New Roman" w:cs="Times New Roman"/>
                <w:sz w:val="20"/>
                <w:szCs w:val="20"/>
              </w:rPr>
            </w:pPr>
            <w:r w:rsidRPr="004770A9">
              <w:rPr>
                <w:rFonts w:ascii="Times New Roman" w:hAnsi="Times New Roman" w:cs="Times New Roman"/>
                <w:sz w:val="20"/>
                <w:szCs w:val="20"/>
              </w:rPr>
              <w:t>9</w:t>
            </w:r>
          </w:p>
        </w:tc>
      </w:tr>
      <w:tr w:rsidR="009032AA" w:rsidRPr="004770A9" w14:paraId="7E70F24B" w14:textId="77777777" w:rsidTr="00FC7FF8">
        <w:tc>
          <w:tcPr>
            <w:tcW w:w="2268" w:type="dxa"/>
            <w:shd w:val="clear" w:color="auto" w:fill="D5DCE4" w:themeFill="text2" w:themeFillTint="33"/>
          </w:tcPr>
          <w:p w14:paraId="7E70F248" w14:textId="77777777" w:rsidR="007B2B09" w:rsidRPr="004770A9" w:rsidRDefault="0080079D" w:rsidP="00DD794A">
            <w:pPr>
              <w:jc w:val="both"/>
              <w:rPr>
                <w:rFonts w:ascii="Times New Roman" w:hAnsi="Times New Roman" w:cs="Times New Roman"/>
                <w:sz w:val="20"/>
                <w:szCs w:val="20"/>
              </w:rPr>
            </w:pPr>
            <w:r w:rsidRPr="004770A9">
              <w:rPr>
                <w:rFonts w:ascii="Times New Roman" w:hAnsi="Times New Roman" w:cs="Times New Roman"/>
                <w:sz w:val="20"/>
                <w:szCs w:val="20"/>
              </w:rPr>
              <w:lastRenderedPageBreak/>
              <w:t>Gestionar el proceso de supervisión</w:t>
            </w:r>
          </w:p>
        </w:tc>
        <w:tc>
          <w:tcPr>
            <w:tcW w:w="5665" w:type="dxa"/>
            <w:shd w:val="clear" w:color="auto" w:fill="D5DCE4" w:themeFill="text2" w:themeFillTint="33"/>
          </w:tcPr>
          <w:p w14:paraId="7E70F249" w14:textId="77777777" w:rsidR="007B2B09" w:rsidRPr="004770A9" w:rsidRDefault="0080079D" w:rsidP="00DD794A">
            <w:pPr>
              <w:jc w:val="both"/>
              <w:rPr>
                <w:rFonts w:ascii="Times New Roman" w:hAnsi="Times New Roman" w:cs="Times New Roman"/>
                <w:sz w:val="20"/>
                <w:szCs w:val="20"/>
              </w:rPr>
            </w:pPr>
            <w:r w:rsidRPr="004770A9">
              <w:rPr>
                <w:rFonts w:ascii="Times New Roman" w:hAnsi="Times New Roman" w:cs="Times New Roman"/>
                <w:sz w:val="20"/>
                <w:szCs w:val="20"/>
              </w:rPr>
              <w:t>Considera las acciones formativas que realiza el supervisor para apoyar los planes individuales y grupales de intervención. Dichas actividades se desarrollan antes, durante y después de la intervención, e incluye la generación de un clima social apropiado para el desarrollo personal y profesional de los supervisados.</w:t>
            </w:r>
          </w:p>
        </w:tc>
        <w:tc>
          <w:tcPr>
            <w:tcW w:w="895" w:type="dxa"/>
            <w:shd w:val="clear" w:color="auto" w:fill="D5DCE4" w:themeFill="text2" w:themeFillTint="33"/>
          </w:tcPr>
          <w:p w14:paraId="7E70F24A" w14:textId="77777777" w:rsidR="007B2B09" w:rsidRPr="004770A9" w:rsidRDefault="0080079D" w:rsidP="00DD794A">
            <w:pPr>
              <w:jc w:val="center"/>
              <w:rPr>
                <w:rFonts w:ascii="Times New Roman" w:hAnsi="Times New Roman" w:cs="Times New Roman"/>
                <w:sz w:val="20"/>
                <w:szCs w:val="20"/>
              </w:rPr>
            </w:pPr>
            <w:r w:rsidRPr="004770A9">
              <w:rPr>
                <w:rFonts w:ascii="Times New Roman" w:hAnsi="Times New Roman" w:cs="Times New Roman"/>
                <w:sz w:val="20"/>
                <w:szCs w:val="20"/>
              </w:rPr>
              <w:t>22</w:t>
            </w:r>
          </w:p>
        </w:tc>
      </w:tr>
      <w:tr w:rsidR="009032AA" w:rsidRPr="004770A9" w14:paraId="7E70F24F" w14:textId="77777777" w:rsidTr="00FC7FF8">
        <w:tc>
          <w:tcPr>
            <w:tcW w:w="2268" w:type="dxa"/>
            <w:shd w:val="clear" w:color="auto" w:fill="D5DCE4" w:themeFill="text2" w:themeFillTint="33"/>
          </w:tcPr>
          <w:p w14:paraId="7E70F24C" w14:textId="77777777" w:rsidR="007B2B09" w:rsidRPr="004770A9" w:rsidRDefault="0080079D" w:rsidP="00DD794A">
            <w:pPr>
              <w:jc w:val="both"/>
              <w:rPr>
                <w:rFonts w:ascii="Times New Roman" w:hAnsi="Times New Roman" w:cs="Times New Roman"/>
                <w:sz w:val="20"/>
                <w:szCs w:val="20"/>
              </w:rPr>
            </w:pPr>
            <w:r w:rsidRPr="004770A9">
              <w:rPr>
                <w:rFonts w:ascii="Times New Roman" w:hAnsi="Times New Roman" w:cs="Times New Roman"/>
                <w:noProof/>
                <w:sz w:val="20"/>
                <w:szCs w:val="20"/>
                <w:lang w:eastAsia="es-MX"/>
              </w:rPr>
              <w:t xml:space="preserve">Dar seguimiento, ajustar y monitorear las acciones desarrolladas  </w:t>
            </w:r>
          </w:p>
        </w:tc>
        <w:tc>
          <w:tcPr>
            <w:tcW w:w="5665" w:type="dxa"/>
            <w:shd w:val="clear" w:color="auto" w:fill="D5DCE4" w:themeFill="text2" w:themeFillTint="33"/>
          </w:tcPr>
          <w:p w14:paraId="7E70F24D" w14:textId="77777777" w:rsidR="007B2B09" w:rsidRPr="004770A9" w:rsidRDefault="0080079D" w:rsidP="00DD794A">
            <w:pPr>
              <w:jc w:val="both"/>
              <w:rPr>
                <w:rFonts w:ascii="Times New Roman" w:hAnsi="Times New Roman" w:cs="Times New Roman"/>
                <w:sz w:val="20"/>
                <w:szCs w:val="20"/>
              </w:rPr>
            </w:pPr>
            <w:r w:rsidRPr="004770A9">
              <w:rPr>
                <w:rFonts w:ascii="Times New Roman" w:hAnsi="Times New Roman" w:cs="Times New Roman"/>
                <w:sz w:val="20"/>
                <w:szCs w:val="20"/>
              </w:rPr>
              <w:t>Considera diversas modalidades de realimentación a los desempeños de los alumnos y la aplicación de estrategias de evaluación formativa.</w:t>
            </w:r>
          </w:p>
        </w:tc>
        <w:tc>
          <w:tcPr>
            <w:tcW w:w="895" w:type="dxa"/>
            <w:shd w:val="clear" w:color="auto" w:fill="D5DCE4" w:themeFill="text2" w:themeFillTint="33"/>
          </w:tcPr>
          <w:p w14:paraId="7E70F24E" w14:textId="77777777" w:rsidR="007B2B09" w:rsidRPr="004770A9" w:rsidRDefault="0080079D" w:rsidP="00DD794A">
            <w:pPr>
              <w:jc w:val="center"/>
              <w:rPr>
                <w:rFonts w:ascii="Times New Roman" w:hAnsi="Times New Roman" w:cs="Times New Roman"/>
                <w:sz w:val="20"/>
                <w:szCs w:val="20"/>
              </w:rPr>
            </w:pPr>
            <w:r w:rsidRPr="004770A9">
              <w:rPr>
                <w:rFonts w:ascii="Times New Roman" w:hAnsi="Times New Roman" w:cs="Times New Roman"/>
                <w:sz w:val="20"/>
                <w:szCs w:val="20"/>
              </w:rPr>
              <w:t>10</w:t>
            </w:r>
          </w:p>
        </w:tc>
      </w:tr>
      <w:tr w:rsidR="009032AA" w:rsidRPr="004770A9" w14:paraId="7E70F253" w14:textId="77777777" w:rsidTr="00FC7FF8">
        <w:tc>
          <w:tcPr>
            <w:tcW w:w="2268" w:type="dxa"/>
            <w:shd w:val="clear" w:color="auto" w:fill="D5DCE4" w:themeFill="text2" w:themeFillTint="33"/>
          </w:tcPr>
          <w:p w14:paraId="7E70F250" w14:textId="77777777" w:rsidR="007B2B09" w:rsidRPr="004770A9" w:rsidRDefault="0080079D" w:rsidP="00DD794A">
            <w:pPr>
              <w:jc w:val="both"/>
              <w:rPr>
                <w:rFonts w:ascii="Times New Roman" w:hAnsi="Times New Roman" w:cs="Times New Roman"/>
                <w:sz w:val="20"/>
                <w:szCs w:val="20"/>
              </w:rPr>
            </w:pPr>
            <w:r w:rsidRPr="004770A9">
              <w:rPr>
                <w:rFonts w:ascii="Times New Roman" w:hAnsi="Times New Roman" w:cs="Times New Roman"/>
                <w:sz w:val="20"/>
                <w:szCs w:val="20"/>
                <w:lang w:eastAsia="es-MX"/>
              </w:rPr>
              <w:t>Utilizar formas de comunicación adecuadas para realizar el trabajo de supervisión</w:t>
            </w:r>
          </w:p>
        </w:tc>
        <w:tc>
          <w:tcPr>
            <w:tcW w:w="5665" w:type="dxa"/>
            <w:shd w:val="clear" w:color="auto" w:fill="D5DCE4" w:themeFill="text2" w:themeFillTint="33"/>
          </w:tcPr>
          <w:p w14:paraId="7E70F251" w14:textId="77777777" w:rsidR="007B2B09" w:rsidRPr="004770A9" w:rsidRDefault="0080079D" w:rsidP="00DD794A">
            <w:pPr>
              <w:jc w:val="both"/>
              <w:rPr>
                <w:rFonts w:ascii="Times New Roman" w:hAnsi="Times New Roman" w:cs="Times New Roman"/>
                <w:sz w:val="20"/>
                <w:szCs w:val="20"/>
              </w:rPr>
            </w:pPr>
            <w:r w:rsidRPr="004770A9">
              <w:rPr>
                <w:rFonts w:ascii="Times New Roman" w:hAnsi="Times New Roman" w:cs="Times New Roman"/>
                <w:sz w:val="20"/>
                <w:szCs w:val="20"/>
              </w:rPr>
              <w:t>Considera la comunicación de ideas, conocimientos y sentimientos para generar confianza y empatía con los supervisados y la promoción del pensamiento crítico reflexivo.</w:t>
            </w:r>
          </w:p>
        </w:tc>
        <w:tc>
          <w:tcPr>
            <w:tcW w:w="895" w:type="dxa"/>
            <w:shd w:val="clear" w:color="auto" w:fill="D5DCE4" w:themeFill="text2" w:themeFillTint="33"/>
          </w:tcPr>
          <w:p w14:paraId="7E70F252" w14:textId="77777777" w:rsidR="007B2B09" w:rsidRPr="004770A9" w:rsidRDefault="0080079D" w:rsidP="00DD794A">
            <w:pPr>
              <w:jc w:val="center"/>
              <w:rPr>
                <w:rFonts w:ascii="Times New Roman" w:hAnsi="Times New Roman" w:cs="Times New Roman"/>
                <w:sz w:val="20"/>
                <w:szCs w:val="20"/>
              </w:rPr>
            </w:pPr>
            <w:r w:rsidRPr="004770A9">
              <w:rPr>
                <w:rFonts w:ascii="Times New Roman" w:hAnsi="Times New Roman" w:cs="Times New Roman"/>
                <w:sz w:val="20"/>
                <w:szCs w:val="20"/>
              </w:rPr>
              <w:t>13</w:t>
            </w:r>
          </w:p>
        </w:tc>
      </w:tr>
      <w:tr w:rsidR="009032AA" w:rsidRPr="004770A9" w14:paraId="7E70F257" w14:textId="77777777" w:rsidTr="00FC7FF8">
        <w:trPr>
          <w:trHeight w:val="935"/>
        </w:trPr>
        <w:tc>
          <w:tcPr>
            <w:tcW w:w="2268" w:type="dxa"/>
            <w:shd w:val="clear" w:color="auto" w:fill="D5DCE4" w:themeFill="text2" w:themeFillTint="33"/>
          </w:tcPr>
          <w:p w14:paraId="7E70F254" w14:textId="77777777" w:rsidR="007B2B09" w:rsidRPr="004770A9" w:rsidRDefault="0080079D" w:rsidP="00DD794A">
            <w:pPr>
              <w:jc w:val="both"/>
              <w:rPr>
                <w:rFonts w:ascii="Times New Roman" w:hAnsi="Times New Roman" w:cs="Times New Roman"/>
                <w:sz w:val="20"/>
                <w:szCs w:val="20"/>
              </w:rPr>
            </w:pPr>
            <w:r w:rsidRPr="004770A9">
              <w:rPr>
                <w:rFonts w:ascii="Times New Roman" w:hAnsi="Times New Roman" w:cs="Times New Roman"/>
                <w:sz w:val="20"/>
                <w:szCs w:val="20"/>
              </w:rPr>
              <w:t>Valorar los procesos de supervisión individual y grupal</w:t>
            </w:r>
          </w:p>
        </w:tc>
        <w:tc>
          <w:tcPr>
            <w:tcW w:w="5665" w:type="dxa"/>
            <w:shd w:val="clear" w:color="auto" w:fill="D5DCE4" w:themeFill="text2" w:themeFillTint="33"/>
          </w:tcPr>
          <w:p w14:paraId="7E70F255" w14:textId="77777777" w:rsidR="007B2B09" w:rsidRPr="004770A9" w:rsidRDefault="0080079D" w:rsidP="00DD794A">
            <w:pPr>
              <w:jc w:val="both"/>
              <w:rPr>
                <w:rFonts w:ascii="Times New Roman" w:hAnsi="Times New Roman" w:cs="Times New Roman"/>
                <w:sz w:val="20"/>
                <w:szCs w:val="20"/>
              </w:rPr>
            </w:pPr>
            <w:r w:rsidRPr="004770A9">
              <w:rPr>
                <w:rFonts w:ascii="Times New Roman" w:hAnsi="Times New Roman" w:cs="Times New Roman"/>
                <w:sz w:val="20"/>
                <w:szCs w:val="20"/>
              </w:rPr>
              <w:t>Considera la evaluación del logro de las metas de la formación, del servicio a la comunidad, de la intervención, así como de las estrategias utilizadas.</w:t>
            </w:r>
          </w:p>
        </w:tc>
        <w:tc>
          <w:tcPr>
            <w:tcW w:w="895" w:type="dxa"/>
            <w:shd w:val="clear" w:color="auto" w:fill="D5DCE4" w:themeFill="text2" w:themeFillTint="33"/>
          </w:tcPr>
          <w:p w14:paraId="7E70F256" w14:textId="77777777" w:rsidR="007B2B09" w:rsidRPr="004770A9" w:rsidRDefault="0080079D" w:rsidP="00DD794A">
            <w:pPr>
              <w:jc w:val="center"/>
              <w:rPr>
                <w:rFonts w:ascii="Times New Roman" w:hAnsi="Times New Roman" w:cs="Times New Roman"/>
                <w:sz w:val="20"/>
                <w:szCs w:val="20"/>
              </w:rPr>
            </w:pPr>
            <w:r w:rsidRPr="004770A9">
              <w:rPr>
                <w:rFonts w:ascii="Times New Roman" w:hAnsi="Times New Roman" w:cs="Times New Roman"/>
                <w:sz w:val="20"/>
                <w:szCs w:val="20"/>
              </w:rPr>
              <w:t>6</w:t>
            </w:r>
          </w:p>
        </w:tc>
      </w:tr>
    </w:tbl>
    <w:p w14:paraId="7E70F258" w14:textId="77777777" w:rsidR="007B2B09" w:rsidRPr="004770A9" w:rsidRDefault="004770A9" w:rsidP="00DD794A">
      <w:pPr>
        <w:spacing w:before="120" w:after="120" w:line="240" w:lineRule="auto"/>
        <w:jc w:val="both"/>
        <w:rPr>
          <w:rFonts w:ascii="Times New Roman" w:hAnsi="Times New Roman" w:cs="Times New Roman"/>
          <w:sz w:val="18"/>
          <w:szCs w:val="18"/>
        </w:rPr>
      </w:pPr>
      <w:r>
        <w:rPr>
          <w:rFonts w:ascii="Times New Roman" w:hAnsi="Times New Roman" w:cs="Times New Roman"/>
          <w:sz w:val="18"/>
          <w:szCs w:val="18"/>
        </w:rPr>
        <w:t>Nota: elaboración propia</w:t>
      </w:r>
    </w:p>
    <w:p w14:paraId="7E70F259" w14:textId="77777777" w:rsidR="00627905" w:rsidRPr="00AB0274" w:rsidRDefault="00627905" w:rsidP="00DD794A">
      <w:pPr>
        <w:spacing w:before="120" w:after="120" w:line="240" w:lineRule="auto"/>
        <w:ind w:firstLine="709"/>
        <w:jc w:val="both"/>
        <w:rPr>
          <w:rFonts w:ascii="Times New Roman" w:eastAsia="Times New Roman" w:hAnsi="Times New Roman" w:cs="Times New Roman"/>
          <w:i/>
          <w:sz w:val="24"/>
          <w:szCs w:val="24"/>
        </w:rPr>
      </w:pPr>
      <w:r w:rsidRPr="00AB0274">
        <w:rPr>
          <w:rFonts w:ascii="Times New Roman" w:eastAsia="Times New Roman" w:hAnsi="Times New Roman" w:cs="Times New Roman"/>
          <w:i/>
          <w:sz w:val="24"/>
          <w:szCs w:val="24"/>
        </w:rPr>
        <w:t>Fase 2. Validación por</w:t>
      </w:r>
      <w:r w:rsidR="002E4DF9">
        <w:rPr>
          <w:rFonts w:ascii="Times New Roman" w:eastAsia="Times New Roman" w:hAnsi="Times New Roman" w:cs="Times New Roman"/>
          <w:i/>
          <w:sz w:val="24"/>
          <w:szCs w:val="24"/>
        </w:rPr>
        <w:t xml:space="preserve"> expertos de la matriz de especifica</w:t>
      </w:r>
      <w:r w:rsidRPr="00AB0274">
        <w:rPr>
          <w:rFonts w:ascii="Times New Roman" w:eastAsia="Times New Roman" w:hAnsi="Times New Roman" w:cs="Times New Roman"/>
          <w:i/>
          <w:sz w:val="24"/>
          <w:szCs w:val="24"/>
        </w:rPr>
        <w:t xml:space="preserve">ción del cuestionario </w:t>
      </w:r>
    </w:p>
    <w:p w14:paraId="7E70F25A" w14:textId="77777777" w:rsidR="00174BD7" w:rsidRDefault="00174BD7" w:rsidP="00DD794A">
      <w:pPr>
        <w:spacing w:before="120" w:after="120" w:line="240" w:lineRule="auto"/>
        <w:ind w:firstLine="708"/>
        <w:jc w:val="both"/>
        <w:rPr>
          <w:rFonts w:ascii="Times New Roman" w:eastAsia="Times New Roman" w:hAnsi="Times New Roman" w:cs="Times New Roman"/>
          <w:color w:val="000000"/>
          <w:sz w:val="24"/>
          <w:szCs w:val="24"/>
        </w:rPr>
      </w:pPr>
      <w:r w:rsidRPr="00AB0274">
        <w:rPr>
          <w:rFonts w:ascii="Times New Roman" w:eastAsia="Times New Roman" w:hAnsi="Times New Roman" w:cs="Times New Roman"/>
          <w:color w:val="000000"/>
          <w:sz w:val="24"/>
          <w:szCs w:val="24"/>
        </w:rPr>
        <w:t xml:space="preserve">Las valoraciones de los expertos no fueron unívocas, esto es, no necesariamente existió un acuerdo. En la tabla 2 se presenta la relación de </w:t>
      </w:r>
      <w:r w:rsidR="002E4DF9">
        <w:rPr>
          <w:rFonts w:ascii="Times New Roman" w:eastAsia="Times New Roman" w:hAnsi="Times New Roman" w:cs="Times New Roman"/>
          <w:color w:val="000000"/>
          <w:sz w:val="24"/>
          <w:szCs w:val="24"/>
        </w:rPr>
        <w:t>ítems</w:t>
      </w:r>
      <w:r w:rsidRPr="00AB0274">
        <w:rPr>
          <w:rFonts w:ascii="Times New Roman" w:eastAsia="Times New Roman" w:hAnsi="Times New Roman" w:cs="Times New Roman"/>
          <w:color w:val="000000"/>
          <w:sz w:val="24"/>
          <w:szCs w:val="24"/>
        </w:rPr>
        <w:t xml:space="preserve"> que, en opinión de los jueces, merecen ser analizados de nuevo. </w:t>
      </w:r>
    </w:p>
    <w:p w14:paraId="7E70F25B" w14:textId="77777777" w:rsidR="00174BD7" w:rsidRPr="00DD794A" w:rsidRDefault="00174BD7" w:rsidP="00DD794A">
      <w:pPr>
        <w:spacing w:before="120" w:after="0" w:line="240" w:lineRule="auto"/>
        <w:jc w:val="both"/>
        <w:rPr>
          <w:rFonts w:ascii="Times New Roman" w:eastAsia="Times New Roman" w:hAnsi="Times New Roman" w:cs="Times New Roman"/>
          <w:b/>
          <w:color w:val="000000"/>
          <w:sz w:val="24"/>
          <w:szCs w:val="24"/>
        </w:rPr>
      </w:pPr>
      <w:r w:rsidRPr="00DD794A">
        <w:rPr>
          <w:rFonts w:ascii="Times New Roman" w:eastAsia="Times New Roman" w:hAnsi="Times New Roman" w:cs="Times New Roman"/>
          <w:b/>
          <w:color w:val="000000"/>
          <w:sz w:val="24"/>
          <w:szCs w:val="24"/>
        </w:rPr>
        <w:t>Tabla 2</w:t>
      </w:r>
    </w:p>
    <w:p w14:paraId="7E70F25C" w14:textId="77777777" w:rsidR="00174BD7" w:rsidRPr="00DD794A" w:rsidRDefault="00174BD7" w:rsidP="00DD794A">
      <w:pPr>
        <w:spacing w:after="120" w:line="240" w:lineRule="auto"/>
        <w:jc w:val="both"/>
        <w:rPr>
          <w:rFonts w:ascii="Times New Roman" w:eastAsia="Times New Roman" w:hAnsi="Times New Roman" w:cs="Times New Roman"/>
          <w:i/>
          <w:color w:val="000000"/>
          <w:sz w:val="24"/>
          <w:szCs w:val="24"/>
        </w:rPr>
      </w:pPr>
      <w:r w:rsidRPr="00DD794A">
        <w:rPr>
          <w:rFonts w:ascii="Times New Roman" w:eastAsia="Times New Roman" w:hAnsi="Times New Roman" w:cs="Times New Roman"/>
          <w:i/>
          <w:color w:val="000000"/>
          <w:sz w:val="24"/>
          <w:szCs w:val="24"/>
        </w:rPr>
        <w:t xml:space="preserve">Relación de </w:t>
      </w:r>
      <w:r w:rsidR="002E4DF9">
        <w:rPr>
          <w:rFonts w:ascii="Times New Roman" w:eastAsia="Times New Roman" w:hAnsi="Times New Roman" w:cs="Times New Roman"/>
          <w:i/>
          <w:color w:val="000000"/>
          <w:sz w:val="24"/>
          <w:szCs w:val="24"/>
        </w:rPr>
        <w:t>ítems</w:t>
      </w:r>
      <w:r w:rsidRPr="00DD794A">
        <w:rPr>
          <w:rFonts w:ascii="Times New Roman" w:eastAsia="Times New Roman" w:hAnsi="Times New Roman" w:cs="Times New Roman"/>
          <w:i/>
          <w:color w:val="000000"/>
          <w:sz w:val="24"/>
          <w:szCs w:val="24"/>
        </w:rPr>
        <w:t xml:space="preserve"> susceptibles a ser modificados con base en la opinión de los expertos.</w:t>
      </w:r>
    </w:p>
    <w:tbl>
      <w:tblPr>
        <w:tblW w:w="0" w:type="auto"/>
        <w:tblBorders>
          <w:top w:val="single" w:sz="4" w:space="0" w:color="auto"/>
          <w:bottom w:val="single" w:sz="4" w:space="0" w:color="auto"/>
          <w:insideH w:val="single" w:sz="4" w:space="0" w:color="FFFFFF" w:themeColor="background1"/>
        </w:tblBorders>
        <w:shd w:val="clear" w:color="auto" w:fill="D5DCE4" w:themeFill="text2" w:themeFillTint="33"/>
        <w:tblLook w:val="04A0" w:firstRow="1" w:lastRow="0" w:firstColumn="1" w:lastColumn="0" w:noHBand="0" w:noVBand="1"/>
      </w:tblPr>
      <w:tblGrid>
        <w:gridCol w:w="1000"/>
        <w:gridCol w:w="2323"/>
        <w:gridCol w:w="2717"/>
        <w:gridCol w:w="2798"/>
      </w:tblGrid>
      <w:tr w:rsidR="00174BD7" w:rsidRPr="0075702C" w14:paraId="7E70F261" w14:textId="77777777" w:rsidTr="00FC7FF8">
        <w:tc>
          <w:tcPr>
            <w:tcW w:w="1000" w:type="dxa"/>
            <w:tcBorders>
              <w:top w:val="single" w:sz="4" w:space="0" w:color="auto"/>
              <w:bottom w:val="single" w:sz="4" w:space="0" w:color="auto"/>
            </w:tcBorders>
            <w:shd w:val="clear" w:color="auto" w:fill="D5DCE4" w:themeFill="text2" w:themeFillTint="33"/>
          </w:tcPr>
          <w:p w14:paraId="7E70F25D" w14:textId="77777777" w:rsidR="00174BD7" w:rsidRPr="0075702C" w:rsidRDefault="00174BD7" w:rsidP="00DD794A">
            <w:pPr>
              <w:spacing w:after="0" w:line="240" w:lineRule="auto"/>
              <w:jc w:val="both"/>
              <w:rPr>
                <w:rFonts w:ascii="Times New Roman" w:eastAsia="Times New Roman" w:hAnsi="Times New Roman" w:cs="Times New Roman"/>
                <w:color w:val="000000"/>
                <w:sz w:val="20"/>
                <w:szCs w:val="20"/>
              </w:rPr>
            </w:pPr>
          </w:p>
        </w:tc>
        <w:tc>
          <w:tcPr>
            <w:tcW w:w="2323" w:type="dxa"/>
            <w:tcBorders>
              <w:top w:val="single" w:sz="4" w:space="0" w:color="auto"/>
              <w:bottom w:val="single" w:sz="4" w:space="0" w:color="auto"/>
            </w:tcBorders>
            <w:shd w:val="clear" w:color="auto" w:fill="D5DCE4" w:themeFill="text2" w:themeFillTint="33"/>
          </w:tcPr>
          <w:p w14:paraId="7E70F25E" w14:textId="77777777" w:rsidR="00174BD7" w:rsidRPr="0075702C" w:rsidRDefault="00174BD7" w:rsidP="00DD794A">
            <w:pPr>
              <w:spacing w:after="0" w:line="240" w:lineRule="auto"/>
              <w:jc w:val="both"/>
              <w:rPr>
                <w:rFonts w:ascii="Times New Roman" w:eastAsia="Times New Roman" w:hAnsi="Times New Roman" w:cs="Times New Roman"/>
                <w:b/>
                <w:color w:val="000000"/>
                <w:sz w:val="20"/>
                <w:szCs w:val="20"/>
              </w:rPr>
            </w:pPr>
            <w:r w:rsidRPr="0075702C">
              <w:rPr>
                <w:rFonts w:ascii="Times New Roman" w:eastAsia="Times New Roman" w:hAnsi="Times New Roman" w:cs="Times New Roman"/>
                <w:b/>
                <w:color w:val="000000"/>
                <w:sz w:val="20"/>
                <w:szCs w:val="20"/>
              </w:rPr>
              <w:t>Claridad</w:t>
            </w:r>
          </w:p>
        </w:tc>
        <w:tc>
          <w:tcPr>
            <w:tcW w:w="2717" w:type="dxa"/>
            <w:tcBorders>
              <w:top w:val="single" w:sz="4" w:space="0" w:color="auto"/>
              <w:bottom w:val="single" w:sz="4" w:space="0" w:color="auto"/>
            </w:tcBorders>
            <w:shd w:val="clear" w:color="auto" w:fill="D5DCE4" w:themeFill="text2" w:themeFillTint="33"/>
          </w:tcPr>
          <w:p w14:paraId="7E70F25F" w14:textId="77777777" w:rsidR="00174BD7" w:rsidRPr="0075702C" w:rsidRDefault="00174BD7" w:rsidP="00DD794A">
            <w:pPr>
              <w:spacing w:after="0" w:line="240" w:lineRule="auto"/>
              <w:jc w:val="both"/>
              <w:rPr>
                <w:rFonts w:ascii="Times New Roman" w:eastAsia="Times New Roman" w:hAnsi="Times New Roman" w:cs="Times New Roman"/>
                <w:b/>
                <w:color w:val="000000"/>
                <w:sz w:val="20"/>
                <w:szCs w:val="20"/>
              </w:rPr>
            </w:pPr>
            <w:r w:rsidRPr="0075702C">
              <w:rPr>
                <w:rFonts w:ascii="Times New Roman" w:eastAsia="Times New Roman" w:hAnsi="Times New Roman" w:cs="Times New Roman"/>
                <w:b/>
                <w:color w:val="000000"/>
                <w:sz w:val="20"/>
                <w:szCs w:val="20"/>
              </w:rPr>
              <w:t>Factibilidad</w:t>
            </w:r>
          </w:p>
        </w:tc>
        <w:tc>
          <w:tcPr>
            <w:tcW w:w="2798" w:type="dxa"/>
            <w:tcBorders>
              <w:top w:val="single" w:sz="4" w:space="0" w:color="auto"/>
              <w:bottom w:val="single" w:sz="4" w:space="0" w:color="auto"/>
            </w:tcBorders>
            <w:shd w:val="clear" w:color="auto" w:fill="D5DCE4" w:themeFill="text2" w:themeFillTint="33"/>
          </w:tcPr>
          <w:p w14:paraId="7E70F260" w14:textId="77777777" w:rsidR="00174BD7" w:rsidRPr="0075702C" w:rsidRDefault="00174BD7" w:rsidP="00DD794A">
            <w:pPr>
              <w:spacing w:after="0" w:line="240" w:lineRule="auto"/>
              <w:jc w:val="both"/>
              <w:rPr>
                <w:rFonts w:ascii="Times New Roman" w:eastAsia="Times New Roman" w:hAnsi="Times New Roman" w:cs="Times New Roman"/>
                <w:b/>
                <w:color w:val="000000"/>
                <w:sz w:val="20"/>
                <w:szCs w:val="20"/>
              </w:rPr>
            </w:pPr>
            <w:r w:rsidRPr="0075702C">
              <w:rPr>
                <w:rFonts w:ascii="Times New Roman" w:eastAsia="Times New Roman" w:hAnsi="Times New Roman" w:cs="Times New Roman"/>
                <w:b/>
                <w:color w:val="000000"/>
                <w:sz w:val="20"/>
                <w:szCs w:val="20"/>
              </w:rPr>
              <w:t>Congruencia</w:t>
            </w:r>
          </w:p>
        </w:tc>
      </w:tr>
      <w:tr w:rsidR="00174BD7" w:rsidRPr="0075702C" w14:paraId="7E70F266" w14:textId="77777777" w:rsidTr="00FC7FF8">
        <w:tc>
          <w:tcPr>
            <w:tcW w:w="1000" w:type="dxa"/>
            <w:tcBorders>
              <w:top w:val="single" w:sz="4" w:space="0" w:color="auto"/>
            </w:tcBorders>
            <w:shd w:val="clear" w:color="auto" w:fill="D5DCE4" w:themeFill="text2" w:themeFillTint="33"/>
          </w:tcPr>
          <w:p w14:paraId="7E70F262" w14:textId="77777777" w:rsidR="00174BD7" w:rsidRPr="0075702C" w:rsidRDefault="00174BD7" w:rsidP="00DD794A">
            <w:pPr>
              <w:spacing w:after="0" w:line="240" w:lineRule="auto"/>
              <w:jc w:val="both"/>
              <w:rPr>
                <w:rFonts w:ascii="Times New Roman" w:eastAsia="Times New Roman" w:hAnsi="Times New Roman" w:cs="Times New Roman"/>
                <w:b/>
                <w:color w:val="000000"/>
                <w:sz w:val="20"/>
                <w:szCs w:val="20"/>
              </w:rPr>
            </w:pPr>
            <w:r w:rsidRPr="0075702C">
              <w:rPr>
                <w:rFonts w:ascii="Times New Roman" w:eastAsia="Times New Roman" w:hAnsi="Times New Roman" w:cs="Times New Roman"/>
                <w:b/>
                <w:color w:val="000000"/>
                <w:sz w:val="20"/>
                <w:szCs w:val="20"/>
              </w:rPr>
              <w:t>Juez 1</w:t>
            </w:r>
          </w:p>
        </w:tc>
        <w:tc>
          <w:tcPr>
            <w:tcW w:w="2323" w:type="dxa"/>
            <w:tcBorders>
              <w:top w:val="single" w:sz="4" w:space="0" w:color="auto"/>
            </w:tcBorders>
            <w:shd w:val="clear" w:color="auto" w:fill="D5DCE4" w:themeFill="text2" w:themeFillTint="33"/>
          </w:tcPr>
          <w:p w14:paraId="7E70F263" w14:textId="77777777" w:rsidR="00174BD7" w:rsidRPr="0075702C" w:rsidRDefault="002E4DF9" w:rsidP="00DD794A">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Ítems</w:t>
            </w:r>
            <w:r w:rsidR="00174BD7" w:rsidRPr="0075702C">
              <w:rPr>
                <w:rFonts w:ascii="Times New Roman" w:eastAsia="Times New Roman" w:hAnsi="Times New Roman" w:cs="Times New Roman"/>
                <w:color w:val="000000"/>
                <w:sz w:val="20"/>
                <w:szCs w:val="20"/>
              </w:rPr>
              <w:t xml:space="preserve"> 13, 15, 16 y 30</w:t>
            </w:r>
          </w:p>
        </w:tc>
        <w:tc>
          <w:tcPr>
            <w:tcW w:w="2717" w:type="dxa"/>
            <w:tcBorders>
              <w:top w:val="single" w:sz="4" w:space="0" w:color="auto"/>
            </w:tcBorders>
            <w:shd w:val="clear" w:color="auto" w:fill="D5DCE4" w:themeFill="text2" w:themeFillTint="33"/>
          </w:tcPr>
          <w:p w14:paraId="7E70F264" w14:textId="77777777" w:rsidR="00174BD7" w:rsidRPr="0075702C" w:rsidRDefault="002E4DF9" w:rsidP="00DD794A">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Ítems</w:t>
            </w:r>
            <w:r w:rsidR="00174BD7" w:rsidRPr="0075702C">
              <w:rPr>
                <w:rFonts w:ascii="Times New Roman" w:eastAsia="Times New Roman" w:hAnsi="Times New Roman" w:cs="Times New Roman"/>
                <w:color w:val="000000"/>
                <w:sz w:val="20"/>
                <w:szCs w:val="20"/>
              </w:rPr>
              <w:t xml:space="preserve"> 2, 3, 4, 6, 8 y 58</w:t>
            </w:r>
          </w:p>
        </w:tc>
        <w:tc>
          <w:tcPr>
            <w:tcW w:w="2798" w:type="dxa"/>
            <w:tcBorders>
              <w:top w:val="single" w:sz="4" w:space="0" w:color="auto"/>
            </w:tcBorders>
            <w:shd w:val="clear" w:color="auto" w:fill="D5DCE4" w:themeFill="text2" w:themeFillTint="33"/>
          </w:tcPr>
          <w:p w14:paraId="7E70F265" w14:textId="77777777" w:rsidR="00174BD7" w:rsidRPr="0075702C" w:rsidRDefault="00174BD7" w:rsidP="00DD794A">
            <w:pPr>
              <w:spacing w:after="0" w:line="240" w:lineRule="auto"/>
              <w:jc w:val="both"/>
              <w:rPr>
                <w:rFonts w:ascii="Times New Roman" w:eastAsia="Times New Roman" w:hAnsi="Times New Roman" w:cs="Times New Roman"/>
                <w:color w:val="000000"/>
                <w:sz w:val="20"/>
                <w:szCs w:val="20"/>
              </w:rPr>
            </w:pPr>
            <w:r w:rsidRPr="0075702C">
              <w:rPr>
                <w:rFonts w:ascii="Times New Roman" w:eastAsia="Times New Roman" w:hAnsi="Times New Roman" w:cs="Times New Roman"/>
                <w:color w:val="000000"/>
                <w:sz w:val="20"/>
                <w:szCs w:val="20"/>
              </w:rPr>
              <w:t>N.A.</w:t>
            </w:r>
          </w:p>
        </w:tc>
      </w:tr>
      <w:tr w:rsidR="00174BD7" w:rsidRPr="0075702C" w14:paraId="7E70F26C" w14:textId="77777777" w:rsidTr="00FC7FF8">
        <w:tc>
          <w:tcPr>
            <w:tcW w:w="1000" w:type="dxa"/>
            <w:shd w:val="clear" w:color="auto" w:fill="D5DCE4" w:themeFill="text2" w:themeFillTint="33"/>
          </w:tcPr>
          <w:p w14:paraId="7E70F267" w14:textId="77777777" w:rsidR="00174BD7" w:rsidRPr="0075702C" w:rsidRDefault="00174BD7" w:rsidP="00DD794A">
            <w:pPr>
              <w:spacing w:after="0" w:line="240" w:lineRule="auto"/>
              <w:jc w:val="both"/>
              <w:rPr>
                <w:rFonts w:ascii="Times New Roman" w:eastAsia="Times New Roman" w:hAnsi="Times New Roman" w:cs="Times New Roman"/>
                <w:b/>
                <w:color w:val="000000"/>
                <w:sz w:val="20"/>
                <w:szCs w:val="20"/>
              </w:rPr>
            </w:pPr>
          </w:p>
          <w:p w14:paraId="7E70F268" w14:textId="77777777" w:rsidR="00174BD7" w:rsidRPr="0075702C" w:rsidRDefault="00174BD7" w:rsidP="00DD794A">
            <w:pPr>
              <w:spacing w:after="0" w:line="240" w:lineRule="auto"/>
              <w:jc w:val="both"/>
              <w:rPr>
                <w:rFonts w:ascii="Times New Roman" w:hAnsi="Times New Roman" w:cs="Times New Roman"/>
                <w:b/>
                <w:sz w:val="20"/>
                <w:szCs w:val="20"/>
              </w:rPr>
            </w:pPr>
            <w:r w:rsidRPr="0075702C">
              <w:rPr>
                <w:rFonts w:ascii="Times New Roman" w:eastAsia="Times New Roman" w:hAnsi="Times New Roman" w:cs="Times New Roman"/>
                <w:b/>
                <w:color w:val="000000"/>
                <w:sz w:val="20"/>
                <w:szCs w:val="20"/>
              </w:rPr>
              <w:t>Juez 2</w:t>
            </w:r>
          </w:p>
        </w:tc>
        <w:tc>
          <w:tcPr>
            <w:tcW w:w="2323" w:type="dxa"/>
            <w:shd w:val="clear" w:color="auto" w:fill="D5DCE4" w:themeFill="text2" w:themeFillTint="33"/>
          </w:tcPr>
          <w:p w14:paraId="7E70F269" w14:textId="77777777" w:rsidR="00174BD7" w:rsidRPr="0075702C" w:rsidRDefault="002E4DF9" w:rsidP="00DD794A">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Ítems</w:t>
            </w:r>
            <w:r w:rsidR="00174BD7" w:rsidRPr="0075702C">
              <w:rPr>
                <w:rFonts w:ascii="Times New Roman" w:eastAsia="Times New Roman" w:hAnsi="Times New Roman" w:cs="Times New Roman"/>
                <w:color w:val="000000"/>
                <w:sz w:val="20"/>
                <w:szCs w:val="20"/>
              </w:rPr>
              <w:t xml:space="preserve"> 2, 3, 4, 5, 7, 8, 13, 14, 15, 19, 20, 21, 22, 23, 24, 26, 27, 28, 29, 31, 32, 36, 38, 39, 40, 44, 45, 48 y 49</w:t>
            </w:r>
          </w:p>
        </w:tc>
        <w:tc>
          <w:tcPr>
            <w:tcW w:w="2717" w:type="dxa"/>
            <w:shd w:val="clear" w:color="auto" w:fill="D5DCE4" w:themeFill="text2" w:themeFillTint="33"/>
          </w:tcPr>
          <w:p w14:paraId="7E70F26A" w14:textId="77777777" w:rsidR="00174BD7" w:rsidRPr="0075702C" w:rsidRDefault="002E4DF9" w:rsidP="00DD794A">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Ítems</w:t>
            </w:r>
            <w:r w:rsidR="00174BD7" w:rsidRPr="0075702C">
              <w:rPr>
                <w:rFonts w:ascii="Times New Roman" w:eastAsia="Times New Roman" w:hAnsi="Times New Roman" w:cs="Times New Roman"/>
                <w:color w:val="000000"/>
                <w:sz w:val="20"/>
                <w:szCs w:val="20"/>
              </w:rPr>
              <w:t xml:space="preserve"> 12, 16, 17, 25, 55, 56, 57, 59 y 60</w:t>
            </w:r>
          </w:p>
        </w:tc>
        <w:tc>
          <w:tcPr>
            <w:tcW w:w="2798" w:type="dxa"/>
            <w:shd w:val="clear" w:color="auto" w:fill="D5DCE4" w:themeFill="text2" w:themeFillTint="33"/>
          </w:tcPr>
          <w:p w14:paraId="7E70F26B" w14:textId="77777777" w:rsidR="00174BD7" w:rsidRPr="0075702C" w:rsidRDefault="00174BD7" w:rsidP="00DD794A">
            <w:pPr>
              <w:spacing w:after="0" w:line="240" w:lineRule="auto"/>
              <w:jc w:val="both"/>
              <w:rPr>
                <w:rFonts w:ascii="Times New Roman" w:eastAsia="Times New Roman" w:hAnsi="Times New Roman" w:cs="Times New Roman"/>
                <w:color w:val="000000"/>
                <w:sz w:val="20"/>
                <w:szCs w:val="20"/>
              </w:rPr>
            </w:pPr>
            <w:r w:rsidRPr="0075702C">
              <w:rPr>
                <w:rFonts w:ascii="Times New Roman" w:eastAsia="Times New Roman" w:hAnsi="Times New Roman" w:cs="Times New Roman"/>
                <w:color w:val="000000"/>
                <w:sz w:val="20"/>
                <w:szCs w:val="20"/>
              </w:rPr>
              <w:t>N.A.</w:t>
            </w:r>
          </w:p>
        </w:tc>
      </w:tr>
      <w:tr w:rsidR="00174BD7" w:rsidRPr="0075702C" w14:paraId="7E70F272" w14:textId="77777777" w:rsidTr="00FC7FF8">
        <w:tc>
          <w:tcPr>
            <w:tcW w:w="1000" w:type="dxa"/>
            <w:shd w:val="clear" w:color="auto" w:fill="D5DCE4" w:themeFill="text2" w:themeFillTint="33"/>
          </w:tcPr>
          <w:p w14:paraId="7E70F26D" w14:textId="77777777" w:rsidR="00174BD7" w:rsidRPr="0075702C" w:rsidRDefault="00174BD7" w:rsidP="00DD794A">
            <w:pPr>
              <w:spacing w:after="0" w:line="240" w:lineRule="auto"/>
              <w:jc w:val="both"/>
              <w:rPr>
                <w:rFonts w:ascii="Times New Roman" w:eastAsia="Times New Roman" w:hAnsi="Times New Roman" w:cs="Times New Roman"/>
                <w:b/>
                <w:color w:val="000000"/>
                <w:sz w:val="20"/>
                <w:szCs w:val="20"/>
              </w:rPr>
            </w:pPr>
          </w:p>
          <w:p w14:paraId="7E70F26E" w14:textId="77777777" w:rsidR="00174BD7" w:rsidRPr="0075702C" w:rsidRDefault="00174BD7" w:rsidP="00DD794A">
            <w:pPr>
              <w:spacing w:after="0" w:line="240" w:lineRule="auto"/>
              <w:jc w:val="both"/>
              <w:rPr>
                <w:rFonts w:ascii="Times New Roman" w:hAnsi="Times New Roman" w:cs="Times New Roman"/>
                <w:b/>
                <w:sz w:val="20"/>
                <w:szCs w:val="20"/>
              </w:rPr>
            </w:pPr>
            <w:r w:rsidRPr="0075702C">
              <w:rPr>
                <w:rFonts w:ascii="Times New Roman" w:eastAsia="Times New Roman" w:hAnsi="Times New Roman" w:cs="Times New Roman"/>
                <w:b/>
                <w:color w:val="000000"/>
                <w:sz w:val="20"/>
                <w:szCs w:val="20"/>
              </w:rPr>
              <w:t>Juez 3</w:t>
            </w:r>
          </w:p>
        </w:tc>
        <w:tc>
          <w:tcPr>
            <w:tcW w:w="2323" w:type="dxa"/>
            <w:shd w:val="clear" w:color="auto" w:fill="D5DCE4" w:themeFill="text2" w:themeFillTint="33"/>
          </w:tcPr>
          <w:p w14:paraId="7E70F26F" w14:textId="77777777" w:rsidR="00174BD7" w:rsidRPr="0075702C" w:rsidRDefault="002E4DF9" w:rsidP="00DD794A">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Ítems</w:t>
            </w:r>
            <w:r w:rsidR="00174BD7" w:rsidRPr="0075702C">
              <w:rPr>
                <w:rFonts w:ascii="Times New Roman" w:eastAsia="Times New Roman" w:hAnsi="Times New Roman" w:cs="Times New Roman"/>
                <w:color w:val="000000"/>
                <w:sz w:val="20"/>
                <w:szCs w:val="20"/>
              </w:rPr>
              <w:t xml:space="preserve"> 2, 3, 4, 5, 6, 7, 10, 22, 23, 24, 25, 26, 29, 30, 32, 33, 36, 37, 39, 44, 45, 46, 52, 55, 56 y 57</w:t>
            </w:r>
          </w:p>
        </w:tc>
        <w:tc>
          <w:tcPr>
            <w:tcW w:w="2717" w:type="dxa"/>
            <w:shd w:val="clear" w:color="auto" w:fill="D5DCE4" w:themeFill="text2" w:themeFillTint="33"/>
          </w:tcPr>
          <w:p w14:paraId="7E70F270" w14:textId="77777777" w:rsidR="00174BD7" w:rsidRPr="0075702C" w:rsidRDefault="00174BD7" w:rsidP="00DD794A">
            <w:pPr>
              <w:spacing w:after="0" w:line="240" w:lineRule="auto"/>
              <w:jc w:val="both"/>
              <w:rPr>
                <w:rFonts w:ascii="Times New Roman" w:eastAsia="Times New Roman" w:hAnsi="Times New Roman" w:cs="Times New Roman"/>
                <w:color w:val="000000"/>
                <w:sz w:val="20"/>
                <w:szCs w:val="20"/>
              </w:rPr>
            </w:pPr>
            <w:r w:rsidRPr="0075702C">
              <w:rPr>
                <w:rFonts w:ascii="Times New Roman" w:eastAsia="Times New Roman" w:hAnsi="Times New Roman" w:cs="Times New Roman"/>
                <w:color w:val="000000"/>
                <w:sz w:val="20"/>
                <w:szCs w:val="20"/>
              </w:rPr>
              <w:t>N.A.</w:t>
            </w:r>
          </w:p>
        </w:tc>
        <w:tc>
          <w:tcPr>
            <w:tcW w:w="2798" w:type="dxa"/>
            <w:shd w:val="clear" w:color="auto" w:fill="D5DCE4" w:themeFill="text2" w:themeFillTint="33"/>
          </w:tcPr>
          <w:p w14:paraId="7E70F271" w14:textId="77777777" w:rsidR="00174BD7" w:rsidRPr="0075702C" w:rsidRDefault="002E4DF9" w:rsidP="00DD794A">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Ítems</w:t>
            </w:r>
            <w:r w:rsidR="00174BD7" w:rsidRPr="0075702C">
              <w:rPr>
                <w:rFonts w:ascii="Times New Roman" w:eastAsia="Times New Roman" w:hAnsi="Times New Roman" w:cs="Times New Roman"/>
                <w:color w:val="000000"/>
                <w:sz w:val="20"/>
                <w:szCs w:val="20"/>
              </w:rPr>
              <w:t xml:space="preserve"> 1, 8, 9, 11, 12, 13, 14, 15, 16, 17, 38, 39, 43, 47, 50, 51, 52, 53, 54 y 58</w:t>
            </w:r>
          </w:p>
        </w:tc>
      </w:tr>
      <w:tr w:rsidR="00174BD7" w:rsidRPr="0075702C" w14:paraId="7E70F277" w14:textId="77777777" w:rsidTr="00FC7FF8">
        <w:tc>
          <w:tcPr>
            <w:tcW w:w="1000" w:type="dxa"/>
            <w:shd w:val="clear" w:color="auto" w:fill="D5DCE4" w:themeFill="text2" w:themeFillTint="33"/>
          </w:tcPr>
          <w:p w14:paraId="7E70F273" w14:textId="77777777" w:rsidR="00174BD7" w:rsidRPr="0075702C" w:rsidRDefault="00174BD7" w:rsidP="00DD794A">
            <w:pPr>
              <w:spacing w:after="0" w:line="240" w:lineRule="auto"/>
              <w:jc w:val="both"/>
              <w:rPr>
                <w:rFonts w:ascii="Times New Roman" w:hAnsi="Times New Roman" w:cs="Times New Roman"/>
                <w:b/>
                <w:sz w:val="20"/>
                <w:szCs w:val="20"/>
              </w:rPr>
            </w:pPr>
            <w:r w:rsidRPr="0075702C">
              <w:rPr>
                <w:rFonts w:ascii="Times New Roman" w:eastAsia="Times New Roman" w:hAnsi="Times New Roman" w:cs="Times New Roman"/>
                <w:b/>
                <w:color w:val="000000"/>
                <w:sz w:val="20"/>
                <w:szCs w:val="20"/>
              </w:rPr>
              <w:t>Juez 4</w:t>
            </w:r>
          </w:p>
        </w:tc>
        <w:tc>
          <w:tcPr>
            <w:tcW w:w="2323" w:type="dxa"/>
            <w:shd w:val="clear" w:color="auto" w:fill="D5DCE4" w:themeFill="text2" w:themeFillTint="33"/>
          </w:tcPr>
          <w:p w14:paraId="7E70F274" w14:textId="77777777" w:rsidR="00174BD7" w:rsidRPr="0075702C" w:rsidRDefault="002E4DF9" w:rsidP="00DD794A">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Ítems</w:t>
            </w:r>
            <w:r w:rsidR="00174BD7" w:rsidRPr="0075702C">
              <w:rPr>
                <w:rFonts w:ascii="Times New Roman" w:eastAsia="Times New Roman" w:hAnsi="Times New Roman" w:cs="Times New Roman"/>
                <w:color w:val="000000"/>
                <w:sz w:val="20"/>
                <w:szCs w:val="20"/>
              </w:rPr>
              <w:t xml:space="preserve"> 29 y 31</w:t>
            </w:r>
          </w:p>
        </w:tc>
        <w:tc>
          <w:tcPr>
            <w:tcW w:w="2717" w:type="dxa"/>
            <w:shd w:val="clear" w:color="auto" w:fill="D5DCE4" w:themeFill="text2" w:themeFillTint="33"/>
          </w:tcPr>
          <w:p w14:paraId="7E70F275" w14:textId="77777777" w:rsidR="00174BD7" w:rsidRPr="0075702C" w:rsidRDefault="00174BD7" w:rsidP="00DD794A">
            <w:pPr>
              <w:spacing w:after="0" w:line="240" w:lineRule="auto"/>
              <w:jc w:val="both"/>
              <w:rPr>
                <w:rFonts w:ascii="Times New Roman" w:eastAsia="Times New Roman" w:hAnsi="Times New Roman" w:cs="Times New Roman"/>
                <w:color w:val="000000"/>
                <w:sz w:val="20"/>
                <w:szCs w:val="20"/>
              </w:rPr>
            </w:pPr>
            <w:r w:rsidRPr="0075702C">
              <w:rPr>
                <w:rFonts w:ascii="Times New Roman" w:eastAsia="Times New Roman" w:hAnsi="Times New Roman" w:cs="Times New Roman"/>
                <w:color w:val="000000"/>
                <w:sz w:val="20"/>
                <w:szCs w:val="20"/>
              </w:rPr>
              <w:t>N.A.</w:t>
            </w:r>
          </w:p>
        </w:tc>
        <w:tc>
          <w:tcPr>
            <w:tcW w:w="2798" w:type="dxa"/>
            <w:shd w:val="clear" w:color="auto" w:fill="D5DCE4" w:themeFill="text2" w:themeFillTint="33"/>
          </w:tcPr>
          <w:p w14:paraId="7E70F276" w14:textId="77777777" w:rsidR="00174BD7" w:rsidRPr="0075702C" w:rsidRDefault="00174BD7" w:rsidP="00DD794A">
            <w:pPr>
              <w:spacing w:after="0" w:line="240" w:lineRule="auto"/>
              <w:jc w:val="both"/>
              <w:rPr>
                <w:rFonts w:ascii="Times New Roman" w:eastAsia="Times New Roman" w:hAnsi="Times New Roman" w:cs="Times New Roman"/>
                <w:color w:val="000000"/>
                <w:sz w:val="20"/>
                <w:szCs w:val="20"/>
              </w:rPr>
            </w:pPr>
            <w:r w:rsidRPr="0075702C">
              <w:rPr>
                <w:rFonts w:ascii="Times New Roman" w:eastAsia="Times New Roman" w:hAnsi="Times New Roman" w:cs="Times New Roman"/>
                <w:color w:val="000000"/>
                <w:sz w:val="20"/>
                <w:szCs w:val="20"/>
              </w:rPr>
              <w:t>N.A.</w:t>
            </w:r>
          </w:p>
        </w:tc>
      </w:tr>
      <w:tr w:rsidR="00174BD7" w:rsidRPr="0075702C" w14:paraId="7E70F27C" w14:textId="77777777" w:rsidTr="00FC7FF8">
        <w:tc>
          <w:tcPr>
            <w:tcW w:w="1000" w:type="dxa"/>
            <w:shd w:val="clear" w:color="auto" w:fill="D5DCE4" w:themeFill="text2" w:themeFillTint="33"/>
          </w:tcPr>
          <w:p w14:paraId="7E70F278" w14:textId="77777777" w:rsidR="00174BD7" w:rsidRPr="0075702C" w:rsidRDefault="00174BD7" w:rsidP="00DD794A">
            <w:pPr>
              <w:spacing w:after="0" w:line="240" w:lineRule="auto"/>
              <w:jc w:val="both"/>
              <w:rPr>
                <w:rFonts w:ascii="Times New Roman" w:hAnsi="Times New Roman" w:cs="Times New Roman"/>
                <w:b/>
                <w:sz w:val="20"/>
                <w:szCs w:val="20"/>
              </w:rPr>
            </w:pPr>
            <w:r w:rsidRPr="0075702C">
              <w:rPr>
                <w:rFonts w:ascii="Times New Roman" w:eastAsia="Times New Roman" w:hAnsi="Times New Roman" w:cs="Times New Roman"/>
                <w:b/>
                <w:color w:val="000000"/>
                <w:sz w:val="20"/>
                <w:szCs w:val="20"/>
              </w:rPr>
              <w:t>Juez 5</w:t>
            </w:r>
          </w:p>
        </w:tc>
        <w:tc>
          <w:tcPr>
            <w:tcW w:w="2323" w:type="dxa"/>
            <w:shd w:val="clear" w:color="auto" w:fill="D5DCE4" w:themeFill="text2" w:themeFillTint="33"/>
          </w:tcPr>
          <w:p w14:paraId="7E70F279" w14:textId="77777777" w:rsidR="00174BD7" w:rsidRPr="0075702C" w:rsidRDefault="00174BD7" w:rsidP="00DD794A">
            <w:pPr>
              <w:spacing w:after="0" w:line="240" w:lineRule="auto"/>
              <w:jc w:val="both"/>
              <w:rPr>
                <w:rFonts w:ascii="Times New Roman" w:eastAsia="Times New Roman" w:hAnsi="Times New Roman" w:cs="Times New Roman"/>
                <w:color w:val="000000"/>
                <w:sz w:val="20"/>
                <w:szCs w:val="20"/>
              </w:rPr>
            </w:pPr>
            <w:r w:rsidRPr="0075702C">
              <w:rPr>
                <w:rFonts w:ascii="Times New Roman" w:eastAsia="Times New Roman" w:hAnsi="Times New Roman" w:cs="Times New Roman"/>
                <w:color w:val="000000"/>
                <w:sz w:val="20"/>
                <w:szCs w:val="20"/>
              </w:rPr>
              <w:t>N.A.</w:t>
            </w:r>
          </w:p>
        </w:tc>
        <w:tc>
          <w:tcPr>
            <w:tcW w:w="2717" w:type="dxa"/>
            <w:shd w:val="clear" w:color="auto" w:fill="D5DCE4" w:themeFill="text2" w:themeFillTint="33"/>
          </w:tcPr>
          <w:p w14:paraId="7E70F27A" w14:textId="77777777" w:rsidR="00174BD7" w:rsidRPr="0075702C" w:rsidRDefault="00174BD7" w:rsidP="00DD794A">
            <w:pPr>
              <w:spacing w:after="0" w:line="240" w:lineRule="auto"/>
              <w:jc w:val="both"/>
              <w:rPr>
                <w:rFonts w:ascii="Times New Roman" w:eastAsia="Times New Roman" w:hAnsi="Times New Roman" w:cs="Times New Roman"/>
                <w:color w:val="000000"/>
                <w:sz w:val="20"/>
                <w:szCs w:val="20"/>
              </w:rPr>
            </w:pPr>
            <w:r w:rsidRPr="0075702C">
              <w:rPr>
                <w:rFonts w:ascii="Times New Roman" w:eastAsia="Times New Roman" w:hAnsi="Times New Roman" w:cs="Times New Roman"/>
                <w:color w:val="000000"/>
                <w:sz w:val="20"/>
                <w:szCs w:val="20"/>
              </w:rPr>
              <w:t>N.A.</w:t>
            </w:r>
          </w:p>
        </w:tc>
        <w:tc>
          <w:tcPr>
            <w:tcW w:w="2798" w:type="dxa"/>
            <w:shd w:val="clear" w:color="auto" w:fill="D5DCE4" w:themeFill="text2" w:themeFillTint="33"/>
          </w:tcPr>
          <w:p w14:paraId="7E70F27B" w14:textId="77777777" w:rsidR="00174BD7" w:rsidRPr="0075702C" w:rsidRDefault="00174BD7" w:rsidP="00DD794A">
            <w:pPr>
              <w:spacing w:after="0" w:line="240" w:lineRule="auto"/>
              <w:jc w:val="both"/>
              <w:rPr>
                <w:rFonts w:ascii="Times New Roman" w:eastAsia="Times New Roman" w:hAnsi="Times New Roman" w:cs="Times New Roman"/>
                <w:color w:val="000000"/>
                <w:sz w:val="20"/>
                <w:szCs w:val="20"/>
              </w:rPr>
            </w:pPr>
            <w:r w:rsidRPr="0075702C">
              <w:rPr>
                <w:rFonts w:ascii="Times New Roman" w:eastAsia="Times New Roman" w:hAnsi="Times New Roman" w:cs="Times New Roman"/>
                <w:color w:val="000000"/>
                <w:sz w:val="20"/>
                <w:szCs w:val="20"/>
              </w:rPr>
              <w:t>N.A.</w:t>
            </w:r>
          </w:p>
        </w:tc>
      </w:tr>
    </w:tbl>
    <w:p w14:paraId="7E70F27D" w14:textId="77777777" w:rsidR="00174BD7" w:rsidRPr="0075702C" w:rsidRDefault="00174BD7" w:rsidP="00DD794A">
      <w:pPr>
        <w:spacing w:before="120" w:after="120" w:line="240" w:lineRule="auto"/>
        <w:jc w:val="both"/>
        <w:rPr>
          <w:rFonts w:ascii="Times New Roman" w:eastAsia="Times New Roman" w:hAnsi="Times New Roman" w:cs="Times New Roman"/>
          <w:color w:val="000000"/>
          <w:sz w:val="18"/>
          <w:szCs w:val="18"/>
        </w:rPr>
      </w:pPr>
      <w:r w:rsidRPr="00AB0274">
        <w:rPr>
          <w:rFonts w:ascii="Times New Roman" w:eastAsia="Times New Roman" w:hAnsi="Times New Roman" w:cs="Times New Roman"/>
          <w:color w:val="000000"/>
          <w:sz w:val="24"/>
          <w:szCs w:val="24"/>
        </w:rPr>
        <w:tab/>
      </w:r>
      <w:r w:rsidRPr="0075702C">
        <w:rPr>
          <w:rFonts w:ascii="Times New Roman" w:eastAsia="Times New Roman" w:hAnsi="Times New Roman" w:cs="Times New Roman"/>
          <w:i/>
          <w:color w:val="000000"/>
          <w:sz w:val="18"/>
          <w:szCs w:val="18"/>
        </w:rPr>
        <w:t>Nota:</w:t>
      </w:r>
      <w:r w:rsidRPr="0075702C">
        <w:rPr>
          <w:rFonts w:ascii="Times New Roman" w:eastAsia="Times New Roman" w:hAnsi="Times New Roman" w:cs="Times New Roman"/>
          <w:color w:val="000000"/>
          <w:sz w:val="18"/>
          <w:szCs w:val="18"/>
        </w:rPr>
        <w:t xml:space="preserve"> Elaboración propia.</w:t>
      </w:r>
    </w:p>
    <w:p w14:paraId="7E70F27E" w14:textId="684B2DF5" w:rsidR="00174BD7" w:rsidRPr="00AB0274" w:rsidRDefault="00174BD7" w:rsidP="00DD794A">
      <w:pPr>
        <w:spacing w:before="120" w:after="120" w:line="240" w:lineRule="auto"/>
        <w:jc w:val="both"/>
        <w:rPr>
          <w:rFonts w:ascii="Times New Roman" w:eastAsia="Times New Roman" w:hAnsi="Times New Roman" w:cs="Times New Roman"/>
          <w:color w:val="000000"/>
          <w:sz w:val="24"/>
          <w:szCs w:val="24"/>
        </w:rPr>
      </w:pPr>
      <w:r w:rsidRPr="00AB0274">
        <w:rPr>
          <w:rFonts w:ascii="Times New Roman" w:eastAsia="Times New Roman" w:hAnsi="Times New Roman" w:cs="Times New Roman"/>
          <w:color w:val="000000"/>
          <w:sz w:val="24"/>
          <w:szCs w:val="24"/>
        </w:rPr>
        <w:tab/>
        <w:t>Para utilizar la información d</w:t>
      </w:r>
      <w:r w:rsidR="00DA584B">
        <w:rPr>
          <w:rFonts w:ascii="Times New Roman" w:eastAsia="Times New Roman" w:hAnsi="Times New Roman" w:cs="Times New Roman"/>
          <w:color w:val="000000"/>
          <w:sz w:val="24"/>
          <w:szCs w:val="24"/>
        </w:rPr>
        <w:t>e la consulta de expertos</w:t>
      </w:r>
      <w:r w:rsidR="002E4DF9">
        <w:rPr>
          <w:rFonts w:ascii="Times New Roman" w:eastAsia="Times New Roman" w:hAnsi="Times New Roman" w:cs="Times New Roman"/>
          <w:color w:val="000000"/>
          <w:sz w:val="24"/>
          <w:szCs w:val="24"/>
        </w:rPr>
        <w:t xml:space="preserve"> de la matriz de especifica</w:t>
      </w:r>
      <w:r w:rsidRPr="00AB0274">
        <w:rPr>
          <w:rFonts w:ascii="Times New Roman" w:eastAsia="Times New Roman" w:hAnsi="Times New Roman" w:cs="Times New Roman"/>
          <w:color w:val="000000"/>
          <w:sz w:val="24"/>
          <w:szCs w:val="24"/>
        </w:rPr>
        <w:t xml:space="preserve">ción e integrar la primera versión del cuestionario se optó por hacer las modificaciones solo a aquellos </w:t>
      </w:r>
      <w:r w:rsidR="002E4DF9">
        <w:rPr>
          <w:rFonts w:ascii="Times New Roman" w:eastAsia="Times New Roman" w:hAnsi="Times New Roman" w:cs="Times New Roman"/>
          <w:color w:val="000000"/>
          <w:sz w:val="24"/>
          <w:szCs w:val="24"/>
        </w:rPr>
        <w:t>ítems</w:t>
      </w:r>
      <w:r w:rsidRPr="00AB0274">
        <w:rPr>
          <w:rFonts w:ascii="Times New Roman" w:eastAsia="Times New Roman" w:hAnsi="Times New Roman" w:cs="Times New Roman"/>
          <w:color w:val="000000"/>
          <w:sz w:val="24"/>
          <w:szCs w:val="24"/>
        </w:rPr>
        <w:t xml:space="preserve"> que fueron objeto de comentarios similares de por lo menos dos jueces. Con base en esto, se tomaron las siguientes decisiones: (i) se cambió la redacción de los </w:t>
      </w:r>
      <w:r w:rsidR="002E4DF9">
        <w:rPr>
          <w:rFonts w:ascii="Times New Roman" w:eastAsia="Times New Roman" w:hAnsi="Times New Roman" w:cs="Times New Roman"/>
          <w:color w:val="000000"/>
          <w:sz w:val="24"/>
          <w:szCs w:val="24"/>
        </w:rPr>
        <w:t>ítems</w:t>
      </w:r>
      <w:r w:rsidRPr="00AB0274">
        <w:rPr>
          <w:rFonts w:ascii="Times New Roman" w:eastAsia="Times New Roman" w:hAnsi="Times New Roman" w:cs="Times New Roman"/>
          <w:color w:val="000000"/>
          <w:sz w:val="24"/>
          <w:szCs w:val="24"/>
        </w:rPr>
        <w:t xml:space="preserve"> 13, 15, 26 y 30; y (ii) </w:t>
      </w:r>
      <w:r w:rsidRPr="00AB0274">
        <w:rPr>
          <w:rFonts w:ascii="Times New Roman" w:hAnsi="Times New Roman" w:cs="Times New Roman"/>
          <w:sz w:val="24"/>
          <w:szCs w:val="24"/>
        </w:rPr>
        <w:t xml:space="preserve">se eliminaron los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3 y 4 que se encuentran subsumidos en el número 2, caso similar sucedió con el </w:t>
      </w:r>
      <w:r w:rsidR="00FD0847">
        <w:rPr>
          <w:rFonts w:ascii="Times New Roman" w:hAnsi="Times New Roman" w:cs="Times New Roman"/>
          <w:sz w:val="24"/>
          <w:szCs w:val="24"/>
        </w:rPr>
        <w:t>ítem</w:t>
      </w:r>
      <w:r w:rsidRPr="00AB0274">
        <w:rPr>
          <w:rFonts w:ascii="Times New Roman" w:hAnsi="Times New Roman" w:cs="Times New Roman"/>
          <w:sz w:val="24"/>
          <w:szCs w:val="24"/>
        </w:rPr>
        <w:t xml:space="preserve"> número 5 que ya estaba contenido en el 7. De esta manera quedó un cuestionario de 57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que se utilizó en el pilotaje. </w:t>
      </w:r>
    </w:p>
    <w:p w14:paraId="7E70F27F" w14:textId="77777777" w:rsidR="00627905" w:rsidRPr="00AB0274" w:rsidRDefault="00627905" w:rsidP="00DD794A">
      <w:pPr>
        <w:spacing w:before="120" w:after="120" w:line="240" w:lineRule="auto"/>
        <w:ind w:firstLine="708"/>
        <w:jc w:val="both"/>
        <w:rPr>
          <w:rFonts w:ascii="Times New Roman" w:hAnsi="Times New Roman" w:cs="Times New Roman"/>
          <w:i/>
          <w:sz w:val="24"/>
          <w:szCs w:val="24"/>
        </w:rPr>
      </w:pPr>
      <w:r w:rsidRPr="00AB0274">
        <w:rPr>
          <w:rFonts w:ascii="Times New Roman" w:hAnsi="Times New Roman" w:cs="Times New Roman"/>
          <w:i/>
          <w:sz w:val="24"/>
          <w:szCs w:val="24"/>
        </w:rPr>
        <w:t>Fase 3. Estudio piloto</w:t>
      </w:r>
    </w:p>
    <w:p w14:paraId="7E70F280" w14:textId="77777777" w:rsidR="00B866C6" w:rsidRPr="00AB0274" w:rsidRDefault="00B866C6" w:rsidP="00DD794A">
      <w:pPr>
        <w:spacing w:before="120" w:after="120" w:line="240" w:lineRule="auto"/>
        <w:ind w:firstLine="708"/>
        <w:jc w:val="both"/>
        <w:rPr>
          <w:rFonts w:ascii="Times New Roman" w:hAnsi="Times New Roman" w:cs="Times New Roman"/>
          <w:sz w:val="24"/>
          <w:szCs w:val="24"/>
        </w:rPr>
      </w:pPr>
      <w:r w:rsidRPr="00AB0274">
        <w:rPr>
          <w:rFonts w:ascii="Times New Roman" w:hAnsi="Times New Roman" w:cs="Times New Roman"/>
          <w:sz w:val="24"/>
          <w:szCs w:val="24"/>
        </w:rPr>
        <w:t xml:space="preserve">El índice de </w:t>
      </w:r>
      <w:r w:rsidR="009032AA">
        <w:rPr>
          <w:rFonts w:ascii="Times New Roman" w:hAnsi="Times New Roman" w:cs="Times New Roman"/>
          <w:sz w:val="24"/>
          <w:szCs w:val="24"/>
        </w:rPr>
        <w:t>fiabilidad</w:t>
      </w:r>
      <w:r w:rsidRPr="00AB0274">
        <w:rPr>
          <w:rFonts w:ascii="Times New Roman" w:hAnsi="Times New Roman" w:cs="Times New Roman"/>
          <w:sz w:val="24"/>
          <w:szCs w:val="24"/>
        </w:rPr>
        <w:t xml:space="preserve"> obtenido a través del cálculo del alfa de Cronbach para las medidas obtenidas con los 57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es de </w:t>
      </w:r>
      <w:r w:rsidRPr="00AB0274">
        <w:rPr>
          <w:rFonts w:ascii="Times New Roman" w:hAnsi="Times New Roman" w:cs="Times New Roman"/>
          <w:b/>
          <w:sz w:val="24"/>
          <w:szCs w:val="24"/>
        </w:rPr>
        <w:t>0.947</w:t>
      </w:r>
      <w:r w:rsidRPr="00AB0274">
        <w:rPr>
          <w:rFonts w:ascii="Times New Roman" w:hAnsi="Times New Roman" w:cs="Times New Roman"/>
          <w:sz w:val="24"/>
          <w:szCs w:val="24"/>
        </w:rPr>
        <w:t>, lo que se int</w:t>
      </w:r>
      <w:r w:rsidR="00B84B33">
        <w:rPr>
          <w:rFonts w:ascii="Times New Roman" w:hAnsi="Times New Roman" w:cs="Times New Roman"/>
          <w:sz w:val="24"/>
          <w:szCs w:val="24"/>
        </w:rPr>
        <w:t xml:space="preserve">erpreta como un valor excelente. </w:t>
      </w:r>
      <w:r w:rsidRPr="00AB0274">
        <w:rPr>
          <w:rFonts w:ascii="Times New Roman" w:hAnsi="Times New Roman" w:cs="Times New Roman"/>
          <w:sz w:val="24"/>
          <w:szCs w:val="24"/>
        </w:rPr>
        <w:t xml:space="preserve">Al analizar las correlaciones entre los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y el total de la medida, se </w:t>
      </w:r>
      <w:r w:rsidRPr="00AB0274">
        <w:rPr>
          <w:rFonts w:ascii="Times New Roman" w:hAnsi="Times New Roman" w:cs="Times New Roman"/>
          <w:sz w:val="24"/>
          <w:szCs w:val="24"/>
        </w:rPr>
        <w:lastRenderedPageBreak/>
        <w:t xml:space="preserve">identificaron siete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con valores no significativos por debajo de 0.35 y que</w:t>
      </w:r>
      <w:r w:rsidR="0075702C">
        <w:rPr>
          <w:rFonts w:ascii="Times New Roman" w:hAnsi="Times New Roman" w:cs="Times New Roman"/>
          <w:sz w:val="24"/>
          <w:szCs w:val="24"/>
        </w:rPr>
        <w:t>,</w:t>
      </w:r>
      <w:r w:rsidRPr="00AB0274">
        <w:rPr>
          <w:rFonts w:ascii="Times New Roman" w:hAnsi="Times New Roman" w:cs="Times New Roman"/>
          <w:sz w:val="24"/>
          <w:szCs w:val="24"/>
        </w:rPr>
        <w:t xml:space="preserve"> de ser eliminados, no afectarían la </w:t>
      </w:r>
      <w:r w:rsidR="009032AA">
        <w:rPr>
          <w:rFonts w:ascii="Times New Roman" w:hAnsi="Times New Roman" w:cs="Times New Roman"/>
          <w:sz w:val="24"/>
          <w:szCs w:val="24"/>
        </w:rPr>
        <w:t>fiabilidad</w:t>
      </w:r>
      <w:r w:rsidR="009E46C9">
        <w:rPr>
          <w:rFonts w:ascii="Times New Roman" w:hAnsi="Times New Roman" w:cs="Times New Roman"/>
          <w:sz w:val="24"/>
          <w:szCs w:val="24"/>
        </w:rPr>
        <w:t xml:space="preserve"> (ver tabla </w:t>
      </w:r>
      <w:r w:rsidRPr="00AB0274">
        <w:rPr>
          <w:rFonts w:ascii="Times New Roman" w:hAnsi="Times New Roman" w:cs="Times New Roman"/>
          <w:sz w:val="24"/>
          <w:szCs w:val="24"/>
        </w:rPr>
        <w:t>3).</w:t>
      </w:r>
    </w:p>
    <w:p w14:paraId="7E70F282" w14:textId="77777777" w:rsidR="00A7603C" w:rsidRPr="006C4679" w:rsidRDefault="00A7603C" w:rsidP="00DD794A">
      <w:pPr>
        <w:spacing w:before="120" w:after="0" w:line="240" w:lineRule="auto"/>
        <w:jc w:val="both"/>
        <w:rPr>
          <w:rFonts w:ascii="Times New Roman" w:hAnsi="Times New Roman" w:cs="Times New Roman"/>
          <w:b/>
          <w:sz w:val="24"/>
          <w:szCs w:val="24"/>
        </w:rPr>
      </w:pPr>
      <w:r w:rsidRPr="006C4679">
        <w:rPr>
          <w:rFonts w:ascii="Times New Roman" w:hAnsi="Times New Roman" w:cs="Times New Roman"/>
          <w:b/>
          <w:sz w:val="24"/>
          <w:szCs w:val="24"/>
        </w:rPr>
        <w:t>Tabla 3</w:t>
      </w:r>
    </w:p>
    <w:p w14:paraId="7E70F283" w14:textId="77777777" w:rsidR="00B866C6" w:rsidRPr="006C4679" w:rsidRDefault="00B866C6" w:rsidP="00DD794A">
      <w:pPr>
        <w:spacing w:after="120" w:line="240" w:lineRule="auto"/>
        <w:jc w:val="both"/>
        <w:rPr>
          <w:rFonts w:ascii="Times New Roman" w:hAnsi="Times New Roman" w:cs="Times New Roman"/>
          <w:i/>
          <w:sz w:val="24"/>
          <w:szCs w:val="24"/>
        </w:rPr>
      </w:pPr>
      <w:r w:rsidRPr="006C4679">
        <w:rPr>
          <w:rFonts w:ascii="Times New Roman" w:hAnsi="Times New Roman" w:cs="Times New Roman"/>
          <w:i/>
          <w:sz w:val="24"/>
          <w:szCs w:val="24"/>
        </w:rPr>
        <w:t>Correlaciones ítem-total corregidas menores a 0.350.</w:t>
      </w:r>
    </w:p>
    <w:tbl>
      <w:tblPr>
        <w:tblStyle w:val="Tablaconcuadrcula"/>
        <w:tblW w:w="0" w:type="auto"/>
        <w:jc w:val="center"/>
        <w:tblBorders>
          <w:left w:val="none" w:sz="0" w:space="0" w:color="auto"/>
          <w:right w:val="none" w:sz="0" w:space="0" w:color="auto"/>
          <w:insideH w:val="single" w:sz="4" w:space="0" w:color="FFFFFF" w:themeColor="background1"/>
          <w:insideV w:val="none" w:sz="0" w:space="0" w:color="auto"/>
        </w:tblBorders>
        <w:shd w:val="clear" w:color="auto" w:fill="FFFFFF" w:themeFill="background1"/>
        <w:tblLook w:val="04A0" w:firstRow="1" w:lastRow="0" w:firstColumn="1" w:lastColumn="0" w:noHBand="0" w:noVBand="1"/>
      </w:tblPr>
      <w:tblGrid>
        <w:gridCol w:w="1790"/>
        <w:gridCol w:w="3213"/>
        <w:gridCol w:w="895"/>
        <w:gridCol w:w="2940"/>
      </w:tblGrid>
      <w:tr w:rsidR="00B866C6" w:rsidRPr="0075702C" w14:paraId="7E70F287" w14:textId="77777777" w:rsidTr="00FC7FF8">
        <w:trPr>
          <w:jc w:val="center"/>
        </w:trPr>
        <w:tc>
          <w:tcPr>
            <w:tcW w:w="1790" w:type="dxa"/>
            <w:shd w:val="clear" w:color="auto" w:fill="D5DCE4" w:themeFill="text2" w:themeFillTint="33"/>
          </w:tcPr>
          <w:p w14:paraId="7E70F284" w14:textId="4FB95F06" w:rsidR="00B866C6" w:rsidRPr="0075702C" w:rsidRDefault="00FD0847" w:rsidP="00DD794A">
            <w:pPr>
              <w:jc w:val="center"/>
              <w:rPr>
                <w:rFonts w:ascii="Times New Roman" w:hAnsi="Times New Roman" w:cs="Times New Roman"/>
                <w:b/>
                <w:sz w:val="20"/>
                <w:szCs w:val="20"/>
              </w:rPr>
            </w:pPr>
            <w:r>
              <w:rPr>
                <w:rFonts w:ascii="Times New Roman" w:hAnsi="Times New Roman" w:cs="Times New Roman"/>
                <w:b/>
                <w:sz w:val="20"/>
                <w:szCs w:val="20"/>
              </w:rPr>
              <w:t>Ítem</w:t>
            </w:r>
          </w:p>
        </w:tc>
        <w:tc>
          <w:tcPr>
            <w:tcW w:w="3213" w:type="dxa"/>
            <w:shd w:val="clear" w:color="auto" w:fill="D5DCE4" w:themeFill="text2" w:themeFillTint="33"/>
          </w:tcPr>
          <w:p w14:paraId="7E70F285" w14:textId="77777777" w:rsidR="00B866C6" w:rsidRPr="0075702C" w:rsidRDefault="00B866C6" w:rsidP="00DD794A">
            <w:pPr>
              <w:jc w:val="center"/>
              <w:rPr>
                <w:rFonts w:ascii="Times New Roman" w:hAnsi="Times New Roman" w:cs="Times New Roman"/>
                <w:b/>
                <w:sz w:val="20"/>
                <w:szCs w:val="20"/>
              </w:rPr>
            </w:pPr>
            <w:r w:rsidRPr="0075702C">
              <w:rPr>
                <w:rFonts w:ascii="Times New Roman" w:hAnsi="Times New Roman" w:cs="Times New Roman"/>
                <w:b/>
                <w:sz w:val="20"/>
                <w:szCs w:val="20"/>
              </w:rPr>
              <w:t>Correlación elemento-total corregida</w:t>
            </w:r>
          </w:p>
        </w:tc>
        <w:tc>
          <w:tcPr>
            <w:tcW w:w="3835" w:type="dxa"/>
            <w:gridSpan w:val="2"/>
            <w:shd w:val="clear" w:color="auto" w:fill="D5DCE4" w:themeFill="text2" w:themeFillTint="33"/>
          </w:tcPr>
          <w:p w14:paraId="7E70F286" w14:textId="77777777" w:rsidR="00B866C6" w:rsidRPr="0075702C" w:rsidRDefault="00B866C6" w:rsidP="00DD794A">
            <w:pPr>
              <w:jc w:val="center"/>
              <w:rPr>
                <w:rFonts w:ascii="Times New Roman" w:hAnsi="Times New Roman" w:cs="Times New Roman"/>
                <w:b/>
                <w:sz w:val="20"/>
                <w:szCs w:val="20"/>
              </w:rPr>
            </w:pPr>
            <w:r w:rsidRPr="0075702C">
              <w:rPr>
                <w:rFonts w:ascii="Times New Roman" w:hAnsi="Times New Roman" w:cs="Times New Roman"/>
                <w:b/>
                <w:sz w:val="20"/>
                <w:szCs w:val="20"/>
              </w:rPr>
              <w:t>Alfa si se elimina el elemento</w:t>
            </w:r>
          </w:p>
        </w:tc>
      </w:tr>
      <w:tr w:rsidR="00B866C6" w:rsidRPr="0075702C" w14:paraId="7E70F28B" w14:textId="77777777" w:rsidTr="00FC7FF8">
        <w:trPr>
          <w:jc w:val="center"/>
        </w:trPr>
        <w:tc>
          <w:tcPr>
            <w:tcW w:w="1790" w:type="dxa"/>
            <w:shd w:val="clear" w:color="auto" w:fill="D5DCE4" w:themeFill="text2" w:themeFillTint="33"/>
          </w:tcPr>
          <w:p w14:paraId="7E70F288"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1</w:t>
            </w:r>
          </w:p>
        </w:tc>
        <w:tc>
          <w:tcPr>
            <w:tcW w:w="4108" w:type="dxa"/>
            <w:gridSpan w:val="2"/>
            <w:shd w:val="clear" w:color="auto" w:fill="D5DCE4" w:themeFill="text2" w:themeFillTint="33"/>
          </w:tcPr>
          <w:p w14:paraId="7E70F289"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.102</w:t>
            </w:r>
          </w:p>
        </w:tc>
        <w:tc>
          <w:tcPr>
            <w:tcW w:w="2940" w:type="dxa"/>
            <w:shd w:val="clear" w:color="auto" w:fill="D5DCE4" w:themeFill="text2" w:themeFillTint="33"/>
          </w:tcPr>
          <w:p w14:paraId="7E70F28A"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.947</w:t>
            </w:r>
          </w:p>
        </w:tc>
      </w:tr>
      <w:tr w:rsidR="00B866C6" w:rsidRPr="0075702C" w14:paraId="7E70F28F" w14:textId="77777777" w:rsidTr="00FC7FF8">
        <w:trPr>
          <w:jc w:val="center"/>
        </w:trPr>
        <w:tc>
          <w:tcPr>
            <w:tcW w:w="1790" w:type="dxa"/>
            <w:shd w:val="clear" w:color="auto" w:fill="D5DCE4" w:themeFill="text2" w:themeFillTint="33"/>
          </w:tcPr>
          <w:p w14:paraId="7E70F28C"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9</w:t>
            </w:r>
          </w:p>
        </w:tc>
        <w:tc>
          <w:tcPr>
            <w:tcW w:w="4108" w:type="dxa"/>
            <w:gridSpan w:val="2"/>
            <w:shd w:val="clear" w:color="auto" w:fill="D5DCE4" w:themeFill="text2" w:themeFillTint="33"/>
          </w:tcPr>
          <w:p w14:paraId="7E70F28D"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.093</w:t>
            </w:r>
          </w:p>
        </w:tc>
        <w:tc>
          <w:tcPr>
            <w:tcW w:w="2940" w:type="dxa"/>
            <w:shd w:val="clear" w:color="auto" w:fill="D5DCE4" w:themeFill="text2" w:themeFillTint="33"/>
          </w:tcPr>
          <w:p w14:paraId="7E70F28E"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.948</w:t>
            </w:r>
          </w:p>
        </w:tc>
      </w:tr>
      <w:tr w:rsidR="00B866C6" w:rsidRPr="0075702C" w14:paraId="7E70F293" w14:textId="77777777" w:rsidTr="00FC7FF8">
        <w:trPr>
          <w:jc w:val="center"/>
        </w:trPr>
        <w:tc>
          <w:tcPr>
            <w:tcW w:w="1790" w:type="dxa"/>
            <w:shd w:val="clear" w:color="auto" w:fill="D5DCE4" w:themeFill="text2" w:themeFillTint="33"/>
          </w:tcPr>
          <w:p w14:paraId="7E70F290"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13</w:t>
            </w:r>
          </w:p>
        </w:tc>
        <w:tc>
          <w:tcPr>
            <w:tcW w:w="4108" w:type="dxa"/>
            <w:gridSpan w:val="2"/>
            <w:shd w:val="clear" w:color="auto" w:fill="D5DCE4" w:themeFill="text2" w:themeFillTint="33"/>
          </w:tcPr>
          <w:p w14:paraId="7E70F291"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.305</w:t>
            </w:r>
          </w:p>
        </w:tc>
        <w:tc>
          <w:tcPr>
            <w:tcW w:w="2940" w:type="dxa"/>
            <w:shd w:val="clear" w:color="auto" w:fill="D5DCE4" w:themeFill="text2" w:themeFillTint="33"/>
          </w:tcPr>
          <w:p w14:paraId="7E70F292"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.946</w:t>
            </w:r>
          </w:p>
        </w:tc>
      </w:tr>
      <w:tr w:rsidR="00B866C6" w:rsidRPr="0075702C" w14:paraId="7E70F297" w14:textId="77777777" w:rsidTr="00FC7FF8">
        <w:trPr>
          <w:jc w:val="center"/>
        </w:trPr>
        <w:tc>
          <w:tcPr>
            <w:tcW w:w="1790" w:type="dxa"/>
            <w:shd w:val="clear" w:color="auto" w:fill="D5DCE4" w:themeFill="text2" w:themeFillTint="33"/>
          </w:tcPr>
          <w:p w14:paraId="7E70F294"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14</w:t>
            </w:r>
          </w:p>
        </w:tc>
        <w:tc>
          <w:tcPr>
            <w:tcW w:w="4108" w:type="dxa"/>
            <w:gridSpan w:val="2"/>
            <w:shd w:val="clear" w:color="auto" w:fill="D5DCE4" w:themeFill="text2" w:themeFillTint="33"/>
          </w:tcPr>
          <w:p w14:paraId="7E70F295"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.340</w:t>
            </w:r>
          </w:p>
        </w:tc>
        <w:tc>
          <w:tcPr>
            <w:tcW w:w="2940" w:type="dxa"/>
            <w:shd w:val="clear" w:color="auto" w:fill="D5DCE4" w:themeFill="text2" w:themeFillTint="33"/>
          </w:tcPr>
          <w:p w14:paraId="7E70F296"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.946</w:t>
            </w:r>
          </w:p>
        </w:tc>
      </w:tr>
      <w:tr w:rsidR="00B866C6" w:rsidRPr="0075702C" w14:paraId="7E70F29B" w14:textId="77777777" w:rsidTr="00FC7FF8">
        <w:trPr>
          <w:jc w:val="center"/>
        </w:trPr>
        <w:tc>
          <w:tcPr>
            <w:tcW w:w="1790" w:type="dxa"/>
            <w:shd w:val="clear" w:color="auto" w:fill="D5DCE4" w:themeFill="text2" w:themeFillTint="33"/>
          </w:tcPr>
          <w:p w14:paraId="7E70F298"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37</w:t>
            </w:r>
          </w:p>
        </w:tc>
        <w:tc>
          <w:tcPr>
            <w:tcW w:w="4108" w:type="dxa"/>
            <w:gridSpan w:val="2"/>
            <w:shd w:val="clear" w:color="auto" w:fill="D5DCE4" w:themeFill="text2" w:themeFillTint="33"/>
          </w:tcPr>
          <w:p w14:paraId="7E70F299"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.308</w:t>
            </w:r>
          </w:p>
        </w:tc>
        <w:tc>
          <w:tcPr>
            <w:tcW w:w="2940" w:type="dxa"/>
            <w:shd w:val="clear" w:color="auto" w:fill="D5DCE4" w:themeFill="text2" w:themeFillTint="33"/>
          </w:tcPr>
          <w:p w14:paraId="7E70F29A"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.946</w:t>
            </w:r>
          </w:p>
        </w:tc>
      </w:tr>
      <w:tr w:rsidR="00B866C6" w:rsidRPr="0075702C" w14:paraId="7E70F29F" w14:textId="77777777" w:rsidTr="00FC7FF8">
        <w:trPr>
          <w:jc w:val="center"/>
        </w:trPr>
        <w:tc>
          <w:tcPr>
            <w:tcW w:w="1790" w:type="dxa"/>
            <w:shd w:val="clear" w:color="auto" w:fill="D5DCE4" w:themeFill="text2" w:themeFillTint="33"/>
          </w:tcPr>
          <w:p w14:paraId="7E70F29C"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38</w:t>
            </w:r>
          </w:p>
        </w:tc>
        <w:tc>
          <w:tcPr>
            <w:tcW w:w="4108" w:type="dxa"/>
            <w:gridSpan w:val="2"/>
            <w:shd w:val="clear" w:color="auto" w:fill="D5DCE4" w:themeFill="text2" w:themeFillTint="33"/>
          </w:tcPr>
          <w:p w14:paraId="7E70F29D"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.048</w:t>
            </w:r>
          </w:p>
        </w:tc>
        <w:tc>
          <w:tcPr>
            <w:tcW w:w="2940" w:type="dxa"/>
            <w:shd w:val="clear" w:color="auto" w:fill="D5DCE4" w:themeFill="text2" w:themeFillTint="33"/>
          </w:tcPr>
          <w:p w14:paraId="7E70F29E"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.948</w:t>
            </w:r>
          </w:p>
        </w:tc>
      </w:tr>
      <w:tr w:rsidR="00B866C6" w:rsidRPr="0075702C" w14:paraId="7E70F2A3" w14:textId="77777777" w:rsidTr="00FC7FF8">
        <w:trPr>
          <w:jc w:val="center"/>
        </w:trPr>
        <w:tc>
          <w:tcPr>
            <w:tcW w:w="1790" w:type="dxa"/>
            <w:shd w:val="clear" w:color="auto" w:fill="D5DCE4" w:themeFill="text2" w:themeFillTint="33"/>
          </w:tcPr>
          <w:p w14:paraId="7E70F2A0"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47</w:t>
            </w:r>
          </w:p>
        </w:tc>
        <w:tc>
          <w:tcPr>
            <w:tcW w:w="4108" w:type="dxa"/>
            <w:gridSpan w:val="2"/>
            <w:shd w:val="clear" w:color="auto" w:fill="D5DCE4" w:themeFill="text2" w:themeFillTint="33"/>
          </w:tcPr>
          <w:p w14:paraId="7E70F2A1"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.312</w:t>
            </w:r>
          </w:p>
        </w:tc>
        <w:tc>
          <w:tcPr>
            <w:tcW w:w="2940" w:type="dxa"/>
            <w:shd w:val="clear" w:color="auto" w:fill="D5DCE4" w:themeFill="text2" w:themeFillTint="33"/>
          </w:tcPr>
          <w:p w14:paraId="7E70F2A2" w14:textId="77777777" w:rsidR="00B866C6" w:rsidRPr="0075702C" w:rsidRDefault="00B866C6" w:rsidP="00DD794A">
            <w:pPr>
              <w:jc w:val="center"/>
              <w:rPr>
                <w:rFonts w:ascii="Times New Roman" w:hAnsi="Times New Roman" w:cs="Times New Roman"/>
                <w:sz w:val="20"/>
                <w:szCs w:val="20"/>
              </w:rPr>
            </w:pPr>
            <w:r w:rsidRPr="0075702C">
              <w:rPr>
                <w:rFonts w:ascii="Times New Roman" w:hAnsi="Times New Roman" w:cs="Times New Roman"/>
                <w:sz w:val="20"/>
                <w:szCs w:val="20"/>
              </w:rPr>
              <w:t>.946</w:t>
            </w:r>
          </w:p>
        </w:tc>
      </w:tr>
    </w:tbl>
    <w:p w14:paraId="7E70F2A4" w14:textId="77777777" w:rsidR="00B866C6" w:rsidRPr="0075702C" w:rsidRDefault="00B866C6" w:rsidP="00DD794A">
      <w:pPr>
        <w:spacing w:before="120" w:after="120" w:line="240" w:lineRule="auto"/>
        <w:jc w:val="both"/>
        <w:rPr>
          <w:rFonts w:ascii="Times New Roman" w:hAnsi="Times New Roman" w:cs="Times New Roman"/>
          <w:sz w:val="18"/>
          <w:szCs w:val="18"/>
        </w:rPr>
      </w:pPr>
      <w:r w:rsidRPr="0075702C">
        <w:rPr>
          <w:rFonts w:ascii="Times New Roman" w:hAnsi="Times New Roman" w:cs="Times New Roman"/>
          <w:i/>
          <w:sz w:val="18"/>
          <w:szCs w:val="18"/>
        </w:rPr>
        <w:t>Nota:</w:t>
      </w:r>
      <w:r w:rsidRPr="0075702C">
        <w:rPr>
          <w:rFonts w:ascii="Times New Roman" w:hAnsi="Times New Roman" w:cs="Times New Roman"/>
          <w:sz w:val="18"/>
          <w:szCs w:val="18"/>
        </w:rPr>
        <w:t xml:space="preserve"> Elaboración propia.</w:t>
      </w:r>
    </w:p>
    <w:p w14:paraId="7E70F2A5" w14:textId="69A19533" w:rsidR="00B866C6" w:rsidRPr="00AB0274" w:rsidRDefault="00B866C6" w:rsidP="00DD794A">
      <w:pPr>
        <w:spacing w:before="120" w:after="120" w:line="240" w:lineRule="auto"/>
        <w:jc w:val="both"/>
        <w:rPr>
          <w:rFonts w:ascii="Times New Roman" w:hAnsi="Times New Roman" w:cs="Times New Roman"/>
          <w:sz w:val="24"/>
          <w:szCs w:val="24"/>
        </w:rPr>
      </w:pPr>
      <w:r w:rsidRPr="00AB0274">
        <w:rPr>
          <w:rFonts w:ascii="Times New Roman" w:hAnsi="Times New Roman" w:cs="Times New Roman"/>
          <w:sz w:val="24"/>
          <w:szCs w:val="24"/>
        </w:rPr>
        <w:tab/>
        <w:t>Sumado a lo anterior, los alumnos que participaron en el pilotaje del cuestionario expresaron escrita y oralmente varios elementos que podrían ser considerados para mejorar la claridad del instrumento</w:t>
      </w:r>
      <w:r w:rsidR="003B5660">
        <w:rPr>
          <w:rFonts w:ascii="Times New Roman" w:hAnsi="Times New Roman" w:cs="Times New Roman"/>
          <w:sz w:val="24"/>
          <w:szCs w:val="24"/>
        </w:rPr>
        <w:t xml:space="preserve"> (ver tabla </w:t>
      </w:r>
      <w:r w:rsidRPr="00AB0274">
        <w:rPr>
          <w:rFonts w:ascii="Times New Roman" w:hAnsi="Times New Roman" w:cs="Times New Roman"/>
          <w:sz w:val="24"/>
          <w:szCs w:val="24"/>
        </w:rPr>
        <w:t xml:space="preserve">4). Los comentarios se organizan en torno a (i) problemas con la </w:t>
      </w:r>
      <w:r w:rsidR="000966F2">
        <w:rPr>
          <w:rFonts w:ascii="Times New Roman" w:hAnsi="Times New Roman" w:cs="Times New Roman"/>
          <w:sz w:val="24"/>
          <w:szCs w:val="24"/>
        </w:rPr>
        <w:t>escala</w:t>
      </w:r>
      <w:r w:rsidRPr="00AB0274">
        <w:rPr>
          <w:rFonts w:ascii="Times New Roman" w:hAnsi="Times New Roman" w:cs="Times New Roman"/>
          <w:sz w:val="24"/>
          <w:szCs w:val="24"/>
        </w:rPr>
        <w:t>; (i</w:t>
      </w:r>
      <w:r w:rsidR="00DB0915">
        <w:rPr>
          <w:rFonts w:ascii="Times New Roman" w:hAnsi="Times New Roman" w:cs="Times New Roman"/>
          <w:sz w:val="24"/>
          <w:szCs w:val="24"/>
        </w:rPr>
        <w:t xml:space="preserve">i) la claridad de los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(iii) la redundancia entre </w:t>
      </w:r>
      <w:r w:rsidR="002E4DF9">
        <w:rPr>
          <w:rFonts w:ascii="Times New Roman" w:hAnsi="Times New Roman" w:cs="Times New Roman"/>
          <w:sz w:val="24"/>
          <w:szCs w:val="24"/>
        </w:rPr>
        <w:t>ítems</w:t>
      </w:r>
      <w:r w:rsidRPr="00AB0274">
        <w:rPr>
          <w:rFonts w:ascii="Times New Roman" w:hAnsi="Times New Roman" w:cs="Times New Roman"/>
          <w:sz w:val="24"/>
          <w:szCs w:val="24"/>
        </w:rPr>
        <w:t>; y (</w:t>
      </w:r>
      <w:r w:rsidR="00FD0847">
        <w:rPr>
          <w:rFonts w:ascii="Times New Roman" w:hAnsi="Times New Roman" w:cs="Times New Roman"/>
          <w:sz w:val="24"/>
          <w:szCs w:val="24"/>
        </w:rPr>
        <w:t>i</w:t>
      </w:r>
      <w:bookmarkStart w:id="0" w:name="_GoBack"/>
      <w:bookmarkEnd w:id="0"/>
      <w:r w:rsidRPr="00AB0274">
        <w:rPr>
          <w:rFonts w:ascii="Times New Roman" w:hAnsi="Times New Roman" w:cs="Times New Roman"/>
          <w:sz w:val="24"/>
          <w:szCs w:val="24"/>
        </w:rPr>
        <w:t>v) la falta de correspondencia con la realidad empírica</w:t>
      </w:r>
      <w:r w:rsidR="00DB0915">
        <w:rPr>
          <w:rFonts w:ascii="Times New Roman" w:hAnsi="Times New Roman" w:cs="Times New Roman"/>
          <w:sz w:val="24"/>
          <w:szCs w:val="24"/>
        </w:rPr>
        <w:t>.</w:t>
      </w:r>
    </w:p>
    <w:p w14:paraId="7E70F2A6" w14:textId="77777777" w:rsidR="00B866C6" w:rsidRPr="006C4679" w:rsidRDefault="00A7603C" w:rsidP="00DD794A">
      <w:pPr>
        <w:spacing w:before="120" w:after="0" w:line="240" w:lineRule="auto"/>
        <w:jc w:val="both"/>
        <w:rPr>
          <w:rFonts w:ascii="Times New Roman" w:hAnsi="Times New Roman" w:cs="Times New Roman"/>
          <w:b/>
          <w:sz w:val="24"/>
          <w:szCs w:val="24"/>
        </w:rPr>
      </w:pPr>
      <w:r w:rsidRPr="006C4679">
        <w:rPr>
          <w:rFonts w:ascii="Times New Roman" w:hAnsi="Times New Roman" w:cs="Times New Roman"/>
          <w:b/>
          <w:sz w:val="24"/>
          <w:szCs w:val="24"/>
        </w:rPr>
        <w:t>Tabla 4</w:t>
      </w:r>
    </w:p>
    <w:p w14:paraId="7E70F2A7" w14:textId="77777777" w:rsidR="00B866C6" w:rsidRPr="00AB0274" w:rsidRDefault="00B866C6" w:rsidP="00DD794A">
      <w:pPr>
        <w:spacing w:after="120" w:line="240" w:lineRule="auto"/>
        <w:jc w:val="both"/>
        <w:rPr>
          <w:rFonts w:ascii="Times New Roman" w:hAnsi="Times New Roman" w:cs="Times New Roman"/>
          <w:sz w:val="24"/>
          <w:szCs w:val="24"/>
        </w:rPr>
      </w:pPr>
      <w:r w:rsidRPr="006C4679">
        <w:rPr>
          <w:rFonts w:ascii="Times New Roman" w:hAnsi="Times New Roman" w:cs="Times New Roman"/>
          <w:i/>
          <w:sz w:val="24"/>
          <w:szCs w:val="24"/>
        </w:rPr>
        <w:t>Comentarios de los alumnos participantes en el pilotaje</w:t>
      </w:r>
      <w:r w:rsidRPr="00AB0274">
        <w:rPr>
          <w:rFonts w:ascii="Times New Roman" w:hAnsi="Times New Roman" w:cs="Times New Roman"/>
          <w:sz w:val="24"/>
          <w:szCs w:val="24"/>
        </w:rPr>
        <w:t>.</w:t>
      </w:r>
    </w:p>
    <w:tbl>
      <w:tblPr>
        <w:tblStyle w:val="Tablaconcuadrcula"/>
        <w:tblW w:w="0" w:type="auto"/>
        <w:tblBorders>
          <w:left w:val="none" w:sz="0" w:space="0" w:color="auto"/>
          <w:right w:val="none" w:sz="0" w:space="0" w:color="auto"/>
          <w:insideH w:val="single" w:sz="4" w:space="0" w:color="FFFFFF" w:themeColor="background1"/>
          <w:insideV w:val="none" w:sz="0" w:space="0" w:color="auto"/>
        </w:tblBorders>
        <w:shd w:val="clear" w:color="auto" w:fill="D5DCE4" w:themeFill="text2" w:themeFillTint="33"/>
        <w:tblLook w:val="04A0" w:firstRow="1" w:lastRow="0" w:firstColumn="1" w:lastColumn="0" w:noHBand="0" w:noVBand="1"/>
      </w:tblPr>
      <w:tblGrid>
        <w:gridCol w:w="1271"/>
        <w:gridCol w:w="5054"/>
        <w:gridCol w:w="2513"/>
      </w:tblGrid>
      <w:tr w:rsidR="00B866C6" w:rsidRPr="003B5660" w14:paraId="7E70F2AB" w14:textId="77777777" w:rsidTr="003B5660">
        <w:tc>
          <w:tcPr>
            <w:tcW w:w="1271" w:type="dxa"/>
            <w:shd w:val="clear" w:color="auto" w:fill="D5DCE4" w:themeFill="text2" w:themeFillTint="33"/>
          </w:tcPr>
          <w:p w14:paraId="7E70F2A8" w14:textId="51CA1F7E" w:rsidR="00B866C6" w:rsidRPr="003B5660" w:rsidRDefault="00FD0847" w:rsidP="00DD794A">
            <w:pPr>
              <w:jc w:val="both"/>
              <w:rPr>
                <w:rFonts w:ascii="Times New Roman" w:hAnsi="Times New Roman" w:cs="Times New Roman"/>
                <w:b/>
                <w:sz w:val="20"/>
                <w:szCs w:val="20"/>
              </w:rPr>
            </w:pPr>
            <w:r>
              <w:rPr>
                <w:rFonts w:ascii="Times New Roman" w:hAnsi="Times New Roman" w:cs="Times New Roman"/>
                <w:b/>
                <w:sz w:val="20"/>
                <w:szCs w:val="20"/>
              </w:rPr>
              <w:t>Ítem</w:t>
            </w:r>
          </w:p>
        </w:tc>
        <w:tc>
          <w:tcPr>
            <w:tcW w:w="5054" w:type="dxa"/>
            <w:shd w:val="clear" w:color="auto" w:fill="D5DCE4" w:themeFill="text2" w:themeFillTint="33"/>
          </w:tcPr>
          <w:p w14:paraId="7E70F2A9" w14:textId="77777777" w:rsidR="00B866C6" w:rsidRPr="003B5660" w:rsidRDefault="00B866C6" w:rsidP="00DD794A">
            <w:pPr>
              <w:tabs>
                <w:tab w:val="left" w:pos="525"/>
                <w:tab w:val="center" w:pos="2494"/>
              </w:tabs>
              <w:jc w:val="both"/>
              <w:rPr>
                <w:rFonts w:ascii="Times New Roman" w:hAnsi="Times New Roman" w:cs="Times New Roman"/>
                <w:b/>
                <w:sz w:val="20"/>
                <w:szCs w:val="20"/>
              </w:rPr>
            </w:pPr>
            <w:r w:rsidRPr="003B5660">
              <w:rPr>
                <w:rFonts w:ascii="Times New Roman" w:hAnsi="Times New Roman" w:cs="Times New Roman"/>
                <w:b/>
                <w:sz w:val="20"/>
                <w:szCs w:val="20"/>
              </w:rPr>
              <w:tab/>
            </w:r>
            <w:r w:rsidRPr="003B5660">
              <w:rPr>
                <w:rFonts w:ascii="Times New Roman" w:hAnsi="Times New Roman" w:cs="Times New Roman"/>
                <w:b/>
                <w:sz w:val="20"/>
                <w:szCs w:val="20"/>
              </w:rPr>
              <w:tab/>
              <w:t>Comentario</w:t>
            </w:r>
          </w:p>
        </w:tc>
        <w:tc>
          <w:tcPr>
            <w:tcW w:w="2513" w:type="dxa"/>
            <w:shd w:val="clear" w:color="auto" w:fill="D5DCE4" w:themeFill="text2" w:themeFillTint="33"/>
          </w:tcPr>
          <w:p w14:paraId="7E70F2AA" w14:textId="77777777" w:rsidR="00B866C6" w:rsidRPr="003B5660" w:rsidRDefault="00B866C6" w:rsidP="00DD794A">
            <w:pPr>
              <w:jc w:val="both"/>
              <w:rPr>
                <w:rFonts w:ascii="Times New Roman" w:hAnsi="Times New Roman" w:cs="Times New Roman"/>
                <w:b/>
                <w:sz w:val="20"/>
                <w:szCs w:val="20"/>
              </w:rPr>
            </w:pPr>
            <w:r w:rsidRPr="003B5660">
              <w:rPr>
                <w:rFonts w:ascii="Times New Roman" w:hAnsi="Times New Roman" w:cs="Times New Roman"/>
                <w:b/>
                <w:sz w:val="20"/>
                <w:szCs w:val="20"/>
              </w:rPr>
              <w:t>Interpretación</w:t>
            </w:r>
          </w:p>
        </w:tc>
      </w:tr>
      <w:tr w:rsidR="00B866C6" w:rsidRPr="003B5660" w14:paraId="7E70F2AF" w14:textId="77777777" w:rsidTr="003B5660">
        <w:tc>
          <w:tcPr>
            <w:tcW w:w="1271" w:type="dxa"/>
            <w:shd w:val="clear" w:color="auto" w:fill="D5DCE4" w:themeFill="text2" w:themeFillTint="33"/>
          </w:tcPr>
          <w:p w14:paraId="7E70F2AC"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Todos</w:t>
            </w:r>
          </w:p>
        </w:tc>
        <w:tc>
          <w:tcPr>
            <w:tcW w:w="5054" w:type="dxa"/>
            <w:shd w:val="clear" w:color="auto" w:fill="D5DCE4" w:themeFill="text2" w:themeFillTint="33"/>
          </w:tcPr>
          <w:p w14:paraId="7E70F2AD"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 xml:space="preserve">“Las respuestas </w:t>
            </w:r>
            <w:r w:rsidRPr="003B5660">
              <w:rPr>
                <w:rFonts w:ascii="Times New Roman" w:hAnsi="Times New Roman" w:cs="Times New Roman"/>
                <w:i/>
                <w:sz w:val="20"/>
                <w:szCs w:val="20"/>
              </w:rPr>
              <w:t xml:space="preserve">casi nunca </w:t>
            </w:r>
            <w:r w:rsidRPr="003B5660">
              <w:rPr>
                <w:rFonts w:ascii="Times New Roman" w:hAnsi="Times New Roman" w:cs="Times New Roman"/>
                <w:sz w:val="20"/>
                <w:szCs w:val="20"/>
              </w:rPr>
              <w:t xml:space="preserve">y </w:t>
            </w:r>
            <w:r w:rsidRPr="003B5660">
              <w:rPr>
                <w:rFonts w:ascii="Times New Roman" w:hAnsi="Times New Roman" w:cs="Times New Roman"/>
                <w:i/>
                <w:sz w:val="20"/>
                <w:szCs w:val="20"/>
              </w:rPr>
              <w:t>algunas veces</w:t>
            </w:r>
            <w:r w:rsidRPr="003B5660">
              <w:rPr>
                <w:rFonts w:ascii="Times New Roman" w:hAnsi="Times New Roman" w:cs="Times New Roman"/>
                <w:sz w:val="20"/>
                <w:szCs w:val="20"/>
              </w:rPr>
              <w:t xml:space="preserve"> me parecen que son iguales, no sé cuál es la diferencia”</w:t>
            </w:r>
          </w:p>
        </w:tc>
        <w:tc>
          <w:tcPr>
            <w:tcW w:w="2513" w:type="dxa"/>
            <w:shd w:val="clear" w:color="auto" w:fill="D5DCE4" w:themeFill="text2" w:themeFillTint="33"/>
          </w:tcPr>
          <w:p w14:paraId="7E70F2AE"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La escala de respuesta no discrimina</w:t>
            </w:r>
          </w:p>
        </w:tc>
      </w:tr>
      <w:tr w:rsidR="00B866C6" w:rsidRPr="003B5660" w14:paraId="7E70F2B3" w14:textId="77777777" w:rsidTr="003B5660">
        <w:tc>
          <w:tcPr>
            <w:tcW w:w="1271" w:type="dxa"/>
            <w:shd w:val="clear" w:color="auto" w:fill="D5DCE4" w:themeFill="text2" w:themeFillTint="33"/>
          </w:tcPr>
          <w:p w14:paraId="7E70F2B0"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3, 4, 5 y 6</w:t>
            </w:r>
          </w:p>
        </w:tc>
        <w:tc>
          <w:tcPr>
            <w:tcW w:w="5054" w:type="dxa"/>
            <w:shd w:val="clear" w:color="auto" w:fill="D5DCE4" w:themeFill="text2" w:themeFillTint="33"/>
          </w:tcPr>
          <w:p w14:paraId="7E70F2B1"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“Esto se hace solo al principio del curso, ¿cómo puedo decir si lo hace siempre si solo llevo una clase con el profesor?”</w:t>
            </w:r>
          </w:p>
        </w:tc>
        <w:tc>
          <w:tcPr>
            <w:tcW w:w="2513" w:type="dxa"/>
            <w:shd w:val="clear" w:color="auto" w:fill="D5DCE4" w:themeFill="text2" w:themeFillTint="33"/>
          </w:tcPr>
          <w:p w14:paraId="7E70F2B2"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No se pueden medir en frecuencia, puesto que son eventos que solo ocurren una vez</w:t>
            </w:r>
          </w:p>
        </w:tc>
      </w:tr>
      <w:tr w:rsidR="00B866C6" w:rsidRPr="003B5660" w14:paraId="7E70F2B7" w14:textId="77777777" w:rsidTr="003B5660">
        <w:tc>
          <w:tcPr>
            <w:tcW w:w="1271" w:type="dxa"/>
            <w:shd w:val="clear" w:color="auto" w:fill="D5DCE4" w:themeFill="text2" w:themeFillTint="33"/>
          </w:tcPr>
          <w:p w14:paraId="7E70F2B4"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5</w:t>
            </w:r>
          </w:p>
        </w:tc>
        <w:tc>
          <w:tcPr>
            <w:tcW w:w="5054" w:type="dxa"/>
            <w:shd w:val="clear" w:color="auto" w:fill="D5DCE4" w:themeFill="text2" w:themeFillTint="33"/>
          </w:tcPr>
          <w:p w14:paraId="7E70F2B5"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 xml:space="preserve">“¿Qué es una </w:t>
            </w:r>
            <w:r w:rsidRPr="003B5660">
              <w:rPr>
                <w:rFonts w:ascii="Times New Roman" w:hAnsi="Times New Roman" w:cs="Times New Roman"/>
                <w:i/>
                <w:sz w:val="20"/>
                <w:szCs w:val="20"/>
              </w:rPr>
              <w:t>unidad de aprendizaje</w:t>
            </w:r>
            <w:r w:rsidRPr="003B5660">
              <w:rPr>
                <w:rFonts w:ascii="Times New Roman" w:hAnsi="Times New Roman" w:cs="Times New Roman"/>
                <w:sz w:val="20"/>
                <w:szCs w:val="20"/>
              </w:rPr>
              <w:t>?”</w:t>
            </w:r>
          </w:p>
        </w:tc>
        <w:tc>
          <w:tcPr>
            <w:tcW w:w="2513" w:type="dxa"/>
            <w:shd w:val="clear" w:color="auto" w:fill="D5DCE4" w:themeFill="text2" w:themeFillTint="33"/>
          </w:tcPr>
          <w:p w14:paraId="7E70F2B6"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Falta claridad en el concepto</w:t>
            </w:r>
          </w:p>
        </w:tc>
      </w:tr>
      <w:tr w:rsidR="00B866C6" w:rsidRPr="003B5660" w14:paraId="7E70F2BB" w14:textId="77777777" w:rsidTr="003B5660">
        <w:tc>
          <w:tcPr>
            <w:tcW w:w="1271" w:type="dxa"/>
            <w:shd w:val="clear" w:color="auto" w:fill="D5DCE4" w:themeFill="text2" w:themeFillTint="33"/>
          </w:tcPr>
          <w:p w14:paraId="7E70F2B8"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4,5 y 6</w:t>
            </w:r>
          </w:p>
        </w:tc>
        <w:tc>
          <w:tcPr>
            <w:tcW w:w="5054" w:type="dxa"/>
            <w:shd w:val="clear" w:color="auto" w:fill="D5DCE4" w:themeFill="text2" w:themeFillTint="33"/>
          </w:tcPr>
          <w:p w14:paraId="7E70F2B9"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“En el plan deberían de venir las unidades de aprendizaje y los criterios de evaluación, ¿no?”</w:t>
            </w:r>
          </w:p>
        </w:tc>
        <w:tc>
          <w:tcPr>
            <w:tcW w:w="2513" w:type="dxa"/>
            <w:shd w:val="clear" w:color="auto" w:fill="D5DCE4" w:themeFill="text2" w:themeFillTint="33"/>
          </w:tcPr>
          <w:p w14:paraId="7E70F2BA"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 xml:space="preserve">Redundancia en los </w:t>
            </w:r>
            <w:r w:rsidR="002E4DF9">
              <w:rPr>
                <w:rFonts w:ascii="Times New Roman" w:hAnsi="Times New Roman" w:cs="Times New Roman"/>
                <w:sz w:val="20"/>
                <w:szCs w:val="20"/>
              </w:rPr>
              <w:t>ítems</w:t>
            </w:r>
          </w:p>
        </w:tc>
      </w:tr>
      <w:tr w:rsidR="00B866C6" w:rsidRPr="003B5660" w14:paraId="7E70F2BF" w14:textId="77777777" w:rsidTr="003B5660">
        <w:tc>
          <w:tcPr>
            <w:tcW w:w="1271" w:type="dxa"/>
            <w:shd w:val="clear" w:color="auto" w:fill="D5DCE4" w:themeFill="text2" w:themeFillTint="33"/>
          </w:tcPr>
          <w:p w14:paraId="7E70F2BC"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17</w:t>
            </w:r>
          </w:p>
        </w:tc>
        <w:tc>
          <w:tcPr>
            <w:tcW w:w="5054" w:type="dxa"/>
            <w:shd w:val="clear" w:color="auto" w:fill="D5DCE4" w:themeFill="text2" w:themeFillTint="33"/>
          </w:tcPr>
          <w:p w14:paraId="7E70F2BD"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“Nosotros nunca planificamos, los profesores son los que dicen siempre qué hacer”</w:t>
            </w:r>
          </w:p>
        </w:tc>
        <w:tc>
          <w:tcPr>
            <w:tcW w:w="2513" w:type="dxa"/>
            <w:shd w:val="clear" w:color="auto" w:fill="D5DCE4" w:themeFill="text2" w:themeFillTint="33"/>
          </w:tcPr>
          <w:p w14:paraId="7E70F2BE"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No corresponde con la realidad empírica</w:t>
            </w:r>
          </w:p>
        </w:tc>
      </w:tr>
      <w:tr w:rsidR="00B866C6" w:rsidRPr="003B5660" w14:paraId="7E70F2C3" w14:textId="77777777" w:rsidTr="003B5660">
        <w:tc>
          <w:tcPr>
            <w:tcW w:w="1271" w:type="dxa"/>
            <w:shd w:val="clear" w:color="auto" w:fill="D5DCE4" w:themeFill="text2" w:themeFillTint="33"/>
          </w:tcPr>
          <w:p w14:paraId="7E70F2C0"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18, 19, 20 y 21</w:t>
            </w:r>
          </w:p>
        </w:tc>
        <w:tc>
          <w:tcPr>
            <w:tcW w:w="5054" w:type="dxa"/>
            <w:shd w:val="clear" w:color="auto" w:fill="D5DCE4" w:themeFill="text2" w:themeFillTint="33"/>
          </w:tcPr>
          <w:p w14:paraId="7E70F2C1"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“Estas preguntas [19, 20 y 21] son lo mismo que esta [18], solo quita tiempo y pregunta exactamente lo mismo”</w:t>
            </w:r>
          </w:p>
        </w:tc>
        <w:tc>
          <w:tcPr>
            <w:tcW w:w="2513" w:type="dxa"/>
            <w:shd w:val="clear" w:color="auto" w:fill="D5DCE4" w:themeFill="text2" w:themeFillTint="33"/>
          </w:tcPr>
          <w:p w14:paraId="7E70F2C2"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Redundancia</w:t>
            </w:r>
          </w:p>
        </w:tc>
      </w:tr>
      <w:tr w:rsidR="00B866C6" w:rsidRPr="003B5660" w14:paraId="7E70F2C7" w14:textId="77777777" w:rsidTr="003B5660">
        <w:tc>
          <w:tcPr>
            <w:tcW w:w="1271" w:type="dxa"/>
            <w:shd w:val="clear" w:color="auto" w:fill="D5DCE4" w:themeFill="text2" w:themeFillTint="33"/>
          </w:tcPr>
          <w:p w14:paraId="7E70F2C4"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22 y 35</w:t>
            </w:r>
          </w:p>
        </w:tc>
        <w:tc>
          <w:tcPr>
            <w:tcW w:w="5054" w:type="dxa"/>
            <w:shd w:val="clear" w:color="auto" w:fill="D5DCE4" w:themeFill="text2" w:themeFillTint="33"/>
          </w:tcPr>
          <w:p w14:paraId="7E70F2C5"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“Preguntan lo mismo del modelamiento”</w:t>
            </w:r>
          </w:p>
        </w:tc>
        <w:tc>
          <w:tcPr>
            <w:tcW w:w="2513" w:type="dxa"/>
            <w:shd w:val="clear" w:color="auto" w:fill="D5DCE4" w:themeFill="text2" w:themeFillTint="33"/>
          </w:tcPr>
          <w:p w14:paraId="7E70F2C6"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Redundancia</w:t>
            </w:r>
          </w:p>
        </w:tc>
      </w:tr>
      <w:tr w:rsidR="00B866C6" w:rsidRPr="003B5660" w14:paraId="7E70F2CB" w14:textId="77777777" w:rsidTr="003B5660">
        <w:tc>
          <w:tcPr>
            <w:tcW w:w="1271" w:type="dxa"/>
            <w:shd w:val="clear" w:color="auto" w:fill="D5DCE4" w:themeFill="text2" w:themeFillTint="33"/>
          </w:tcPr>
          <w:p w14:paraId="7E70F2C8"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27</w:t>
            </w:r>
          </w:p>
        </w:tc>
        <w:tc>
          <w:tcPr>
            <w:tcW w:w="5054" w:type="dxa"/>
            <w:shd w:val="clear" w:color="auto" w:fill="D5DCE4" w:themeFill="text2" w:themeFillTint="33"/>
          </w:tcPr>
          <w:p w14:paraId="7E70F2C9"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“Nota: en medicina, en mi experiencia, aquí nunca nos dan tiempo para reflexionar [cara triste]”</w:t>
            </w:r>
          </w:p>
        </w:tc>
        <w:tc>
          <w:tcPr>
            <w:tcW w:w="2513" w:type="dxa"/>
            <w:shd w:val="clear" w:color="auto" w:fill="D5DCE4" w:themeFill="text2" w:themeFillTint="33"/>
          </w:tcPr>
          <w:p w14:paraId="7E70F2CA"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No corresponde con la realidad empírica</w:t>
            </w:r>
          </w:p>
        </w:tc>
      </w:tr>
      <w:tr w:rsidR="00B866C6" w:rsidRPr="003B5660" w14:paraId="7E70F2CF" w14:textId="77777777" w:rsidTr="003B5660">
        <w:tc>
          <w:tcPr>
            <w:tcW w:w="1271" w:type="dxa"/>
            <w:shd w:val="clear" w:color="auto" w:fill="D5DCE4" w:themeFill="text2" w:themeFillTint="33"/>
          </w:tcPr>
          <w:p w14:paraId="7E70F2CC"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33</w:t>
            </w:r>
          </w:p>
        </w:tc>
        <w:tc>
          <w:tcPr>
            <w:tcW w:w="5054" w:type="dxa"/>
            <w:shd w:val="clear" w:color="auto" w:fill="D5DCE4" w:themeFill="text2" w:themeFillTint="33"/>
          </w:tcPr>
          <w:p w14:paraId="7E70F2CD"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“Nunca promueven que analicemos nuestro desempeño”</w:t>
            </w:r>
          </w:p>
        </w:tc>
        <w:tc>
          <w:tcPr>
            <w:tcW w:w="2513" w:type="dxa"/>
            <w:shd w:val="clear" w:color="auto" w:fill="D5DCE4" w:themeFill="text2" w:themeFillTint="33"/>
          </w:tcPr>
          <w:p w14:paraId="7E70F2CE"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No corresponde con la realidad empírica</w:t>
            </w:r>
          </w:p>
        </w:tc>
      </w:tr>
      <w:tr w:rsidR="00B866C6" w:rsidRPr="003B5660" w14:paraId="7E70F2D3" w14:textId="77777777" w:rsidTr="003B5660">
        <w:tc>
          <w:tcPr>
            <w:tcW w:w="1271" w:type="dxa"/>
            <w:shd w:val="clear" w:color="auto" w:fill="D5DCE4" w:themeFill="text2" w:themeFillTint="33"/>
          </w:tcPr>
          <w:p w14:paraId="7E70F2D0"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45 y 46</w:t>
            </w:r>
          </w:p>
        </w:tc>
        <w:tc>
          <w:tcPr>
            <w:tcW w:w="5054" w:type="dxa"/>
            <w:shd w:val="clear" w:color="auto" w:fill="D5DCE4" w:themeFill="text2" w:themeFillTint="33"/>
          </w:tcPr>
          <w:p w14:paraId="7E70F2D1"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“Los dos se refieren a que los alumnos expresemos lo que pensamos y sentimos”</w:t>
            </w:r>
          </w:p>
        </w:tc>
        <w:tc>
          <w:tcPr>
            <w:tcW w:w="2513" w:type="dxa"/>
            <w:shd w:val="clear" w:color="auto" w:fill="D5DCE4" w:themeFill="text2" w:themeFillTint="33"/>
          </w:tcPr>
          <w:p w14:paraId="7E70F2D2"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Redundancia</w:t>
            </w:r>
          </w:p>
        </w:tc>
      </w:tr>
      <w:tr w:rsidR="00B866C6" w:rsidRPr="003B5660" w14:paraId="7E70F2D7" w14:textId="77777777" w:rsidTr="003B5660">
        <w:tc>
          <w:tcPr>
            <w:tcW w:w="1271" w:type="dxa"/>
            <w:shd w:val="clear" w:color="auto" w:fill="D5DCE4" w:themeFill="text2" w:themeFillTint="33"/>
          </w:tcPr>
          <w:p w14:paraId="7E70F2D4"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25, 32, 33, 53, 56</w:t>
            </w:r>
          </w:p>
        </w:tc>
        <w:tc>
          <w:tcPr>
            <w:tcW w:w="5054" w:type="dxa"/>
            <w:shd w:val="clear" w:color="auto" w:fill="D5DCE4" w:themeFill="text2" w:themeFillTint="33"/>
          </w:tcPr>
          <w:p w14:paraId="7E70F2D5"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“Todas las preguntas que marqué evalúan la retroalimentación, parece que son lo mismo”</w:t>
            </w:r>
          </w:p>
        </w:tc>
        <w:tc>
          <w:tcPr>
            <w:tcW w:w="2513" w:type="dxa"/>
            <w:shd w:val="clear" w:color="auto" w:fill="D5DCE4" w:themeFill="text2" w:themeFillTint="33"/>
          </w:tcPr>
          <w:p w14:paraId="7E70F2D6" w14:textId="77777777" w:rsidR="00B866C6" w:rsidRPr="003B5660" w:rsidRDefault="00B866C6" w:rsidP="00DD794A">
            <w:pPr>
              <w:jc w:val="both"/>
              <w:rPr>
                <w:rFonts w:ascii="Times New Roman" w:hAnsi="Times New Roman" w:cs="Times New Roman"/>
                <w:sz w:val="20"/>
                <w:szCs w:val="20"/>
              </w:rPr>
            </w:pPr>
            <w:r w:rsidRPr="003B5660">
              <w:rPr>
                <w:rFonts w:ascii="Times New Roman" w:hAnsi="Times New Roman" w:cs="Times New Roman"/>
                <w:sz w:val="20"/>
                <w:szCs w:val="20"/>
              </w:rPr>
              <w:t>Redundancia</w:t>
            </w:r>
          </w:p>
        </w:tc>
      </w:tr>
    </w:tbl>
    <w:p w14:paraId="7E70F2D8" w14:textId="77777777" w:rsidR="00B866C6" w:rsidRPr="003B5660" w:rsidRDefault="00B866C6" w:rsidP="00DD794A">
      <w:pPr>
        <w:spacing w:before="120" w:after="120" w:line="240" w:lineRule="auto"/>
        <w:jc w:val="both"/>
        <w:rPr>
          <w:rFonts w:ascii="Times New Roman" w:hAnsi="Times New Roman" w:cs="Times New Roman"/>
          <w:sz w:val="18"/>
          <w:szCs w:val="18"/>
        </w:rPr>
      </w:pPr>
      <w:r w:rsidRPr="003B5660">
        <w:rPr>
          <w:rFonts w:ascii="Times New Roman" w:hAnsi="Times New Roman" w:cs="Times New Roman"/>
          <w:sz w:val="18"/>
          <w:szCs w:val="18"/>
        </w:rPr>
        <w:t>Nota: Elaboración propia.</w:t>
      </w:r>
    </w:p>
    <w:p w14:paraId="712881F1" w14:textId="77777777" w:rsidR="00D41C5C" w:rsidRDefault="00D41C5C" w:rsidP="00DD794A">
      <w:pPr>
        <w:spacing w:before="120" w:after="120" w:line="240" w:lineRule="auto"/>
        <w:ind w:firstLine="708"/>
        <w:jc w:val="both"/>
        <w:rPr>
          <w:rFonts w:ascii="Times New Roman" w:hAnsi="Times New Roman" w:cs="Times New Roman"/>
          <w:i/>
          <w:sz w:val="24"/>
          <w:szCs w:val="24"/>
        </w:rPr>
      </w:pPr>
    </w:p>
    <w:p w14:paraId="3A0DF80E" w14:textId="77777777" w:rsidR="00D41C5C" w:rsidRDefault="00D41C5C" w:rsidP="00DD794A">
      <w:pPr>
        <w:spacing w:before="120" w:after="120" w:line="240" w:lineRule="auto"/>
        <w:ind w:firstLine="708"/>
        <w:jc w:val="both"/>
        <w:rPr>
          <w:rFonts w:ascii="Times New Roman" w:hAnsi="Times New Roman" w:cs="Times New Roman"/>
          <w:i/>
          <w:sz w:val="24"/>
          <w:szCs w:val="24"/>
        </w:rPr>
      </w:pPr>
    </w:p>
    <w:p w14:paraId="7E70F2D9" w14:textId="77777777" w:rsidR="00627905" w:rsidRPr="00AB0274" w:rsidRDefault="00627905" w:rsidP="00DD794A">
      <w:pPr>
        <w:spacing w:before="120" w:after="120" w:line="240" w:lineRule="auto"/>
        <w:ind w:firstLine="708"/>
        <w:jc w:val="both"/>
        <w:rPr>
          <w:rFonts w:ascii="Times New Roman" w:hAnsi="Times New Roman" w:cs="Times New Roman"/>
          <w:i/>
          <w:sz w:val="24"/>
          <w:szCs w:val="24"/>
        </w:rPr>
      </w:pPr>
      <w:r w:rsidRPr="00AB0274">
        <w:rPr>
          <w:rFonts w:ascii="Times New Roman" w:hAnsi="Times New Roman" w:cs="Times New Roman"/>
          <w:i/>
          <w:sz w:val="24"/>
          <w:szCs w:val="24"/>
        </w:rPr>
        <w:lastRenderedPageBreak/>
        <w:t xml:space="preserve">Fase 4. Definición de los </w:t>
      </w:r>
      <w:r w:rsidR="002E4DF9">
        <w:rPr>
          <w:rFonts w:ascii="Times New Roman" w:hAnsi="Times New Roman" w:cs="Times New Roman"/>
          <w:i/>
          <w:sz w:val="24"/>
          <w:szCs w:val="24"/>
        </w:rPr>
        <w:t>ítems</w:t>
      </w:r>
      <w:r w:rsidRPr="00AB0274">
        <w:rPr>
          <w:rFonts w:ascii="Times New Roman" w:hAnsi="Times New Roman" w:cs="Times New Roman"/>
          <w:i/>
          <w:sz w:val="24"/>
          <w:szCs w:val="24"/>
        </w:rPr>
        <w:t xml:space="preserve"> esenciales</w:t>
      </w:r>
    </w:p>
    <w:p w14:paraId="7E70F2DA" w14:textId="77777777" w:rsidR="00A7603C" w:rsidRPr="00AB0274" w:rsidRDefault="00A7603C" w:rsidP="00DD794A">
      <w:pPr>
        <w:spacing w:before="120" w:after="120" w:line="240" w:lineRule="auto"/>
        <w:ind w:firstLine="708"/>
        <w:jc w:val="both"/>
        <w:rPr>
          <w:rFonts w:ascii="Times New Roman" w:hAnsi="Times New Roman" w:cs="Times New Roman"/>
          <w:sz w:val="24"/>
          <w:szCs w:val="24"/>
        </w:rPr>
      </w:pPr>
      <w:r w:rsidRPr="00AB0274">
        <w:rPr>
          <w:rFonts w:ascii="Times New Roman" w:hAnsi="Times New Roman" w:cs="Times New Roman"/>
          <w:sz w:val="24"/>
          <w:szCs w:val="24"/>
        </w:rPr>
        <w:t xml:space="preserve">Los expertos distinguieron entre aquellos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que son esenciales y no esenciales en un formato de validación diseñado para tal propósito. Con base en ello, se presenta la relación de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que no alcanzaron el valor mínimo de</w:t>
      </w:r>
      <w:r w:rsidRPr="00AB0274">
        <w:rPr>
          <w:rFonts w:ascii="Times New Roman" w:hAnsi="Times New Roman" w:cs="Times New Roman"/>
          <w:i/>
          <w:sz w:val="24"/>
          <w:szCs w:val="24"/>
        </w:rPr>
        <w:t xml:space="preserve"> Content </w:t>
      </w:r>
      <w:proofErr w:type="spellStart"/>
      <w:r w:rsidRPr="00AB0274">
        <w:rPr>
          <w:rFonts w:ascii="Times New Roman" w:hAnsi="Times New Roman" w:cs="Times New Roman"/>
          <w:i/>
          <w:sz w:val="24"/>
          <w:szCs w:val="24"/>
        </w:rPr>
        <w:t>Validity</w:t>
      </w:r>
      <w:proofErr w:type="spellEnd"/>
      <w:r w:rsidRPr="00AB0274">
        <w:rPr>
          <w:rFonts w:ascii="Times New Roman" w:hAnsi="Times New Roman" w:cs="Times New Roman"/>
          <w:i/>
          <w:sz w:val="24"/>
          <w:szCs w:val="24"/>
        </w:rPr>
        <w:t xml:space="preserve"> Ratio </w:t>
      </w:r>
      <w:r w:rsidRPr="00AB0274">
        <w:rPr>
          <w:rFonts w:ascii="Times New Roman" w:hAnsi="Times New Roman" w:cs="Times New Roman"/>
          <w:sz w:val="24"/>
          <w:szCs w:val="24"/>
        </w:rPr>
        <w:t xml:space="preserve">(CVR) de 0.5823. Es así que, del total de 57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sometidos a juicio, 13 no alcanzaron el valor mínimo de CVR. Los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11, 14, 18, 24, 26, 28, 29, 34, 35, 41, 42, 50 y 51 son descartables con base en la opinión de los expertos (ver tabla 5). </w:t>
      </w:r>
    </w:p>
    <w:p w14:paraId="7E70F2DB" w14:textId="77777777" w:rsidR="00A7603C" w:rsidRPr="006C4679" w:rsidRDefault="00A7603C" w:rsidP="00DD794A">
      <w:pPr>
        <w:spacing w:before="120" w:after="0" w:line="240" w:lineRule="auto"/>
        <w:jc w:val="both"/>
        <w:rPr>
          <w:rFonts w:ascii="Times New Roman" w:hAnsi="Times New Roman" w:cs="Times New Roman"/>
          <w:b/>
          <w:sz w:val="24"/>
          <w:szCs w:val="24"/>
        </w:rPr>
      </w:pPr>
      <w:r w:rsidRPr="006C4679">
        <w:rPr>
          <w:rFonts w:ascii="Times New Roman" w:hAnsi="Times New Roman" w:cs="Times New Roman"/>
          <w:b/>
          <w:sz w:val="24"/>
          <w:szCs w:val="24"/>
        </w:rPr>
        <w:t>Tabla 5</w:t>
      </w:r>
    </w:p>
    <w:p w14:paraId="7E70F2DC" w14:textId="77777777" w:rsidR="00A7603C" w:rsidRPr="006C4679" w:rsidRDefault="002E4DF9" w:rsidP="00DD794A">
      <w:pPr>
        <w:spacing w:after="120" w:line="240" w:lineRule="auto"/>
        <w:jc w:val="both"/>
        <w:rPr>
          <w:rFonts w:ascii="Times New Roman" w:hAnsi="Times New Roman" w:cs="Times New Roman"/>
          <w:i/>
          <w:sz w:val="24"/>
          <w:szCs w:val="24"/>
        </w:rPr>
      </w:pPr>
      <w:r>
        <w:rPr>
          <w:rFonts w:ascii="Times New Roman" w:hAnsi="Times New Roman" w:cs="Times New Roman"/>
          <w:i/>
          <w:sz w:val="24"/>
          <w:szCs w:val="24"/>
        </w:rPr>
        <w:t>Ítems</w:t>
      </w:r>
      <w:r w:rsidR="00A7603C" w:rsidRPr="006C4679">
        <w:rPr>
          <w:rFonts w:ascii="Times New Roman" w:hAnsi="Times New Roman" w:cs="Times New Roman"/>
          <w:i/>
          <w:sz w:val="24"/>
          <w:szCs w:val="24"/>
        </w:rPr>
        <w:t xml:space="preserve"> con un Content </w:t>
      </w:r>
      <w:proofErr w:type="spellStart"/>
      <w:r w:rsidR="00A7603C" w:rsidRPr="006C4679">
        <w:rPr>
          <w:rFonts w:ascii="Times New Roman" w:hAnsi="Times New Roman" w:cs="Times New Roman"/>
          <w:i/>
          <w:sz w:val="24"/>
          <w:szCs w:val="24"/>
        </w:rPr>
        <w:t>Validity</w:t>
      </w:r>
      <w:proofErr w:type="spellEnd"/>
      <w:r w:rsidR="00A7603C" w:rsidRPr="006C4679">
        <w:rPr>
          <w:rFonts w:ascii="Times New Roman" w:hAnsi="Times New Roman" w:cs="Times New Roman"/>
          <w:i/>
          <w:sz w:val="24"/>
          <w:szCs w:val="24"/>
        </w:rPr>
        <w:t xml:space="preserve"> Ratio por debajo de 0.5823.</w:t>
      </w:r>
    </w:p>
    <w:tbl>
      <w:tblPr>
        <w:tblStyle w:val="Tablaconcuadrcula"/>
        <w:tblW w:w="0" w:type="auto"/>
        <w:tblBorders>
          <w:left w:val="none" w:sz="0" w:space="0" w:color="auto"/>
          <w:right w:val="none" w:sz="0" w:space="0" w:color="auto"/>
          <w:insideH w:val="single" w:sz="4" w:space="0" w:color="FFFFFF" w:themeColor="background1"/>
          <w:insideV w:val="none" w:sz="0" w:space="0" w:color="auto"/>
        </w:tblBorders>
        <w:shd w:val="clear" w:color="auto" w:fill="D5DCE4" w:themeFill="text2" w:themeFillTint="33"/>
        <w:tblLook w:val="04A0" w:firstRow="1" w:lastRow="0" w:firstColumn="1" w:lastColumn="0" w:noHBand="0" w:noVBand="1"/>
      </w:tblPr>
      <w:tblGrid>
        <w:gridCol w:w="7938"/>
        <w:gridCol w:w="900"/>
      </w:tblGrid>
      <w:tr w:rsidR="00A7603C" w:rsidRPr="00FC7FF8" w14:paraId="7E70F2DF" w14:textId="77777777" w:rsidTr="00FC7FF8">
        <w:tc>
          <w:tcPr>
            <w:tcW w:w="7938" w:type="dxa"/>
            <w:shd w:val="clear" w:color="auto" w:fill="D5DCE4" w:themeFill="text2" w:themeFillTint="33"/>
          </w:tcPr>
          <w:p w14:paraId="7E70F2DD" w14:textId="3CA3C2FA" w:rsidR="00A7603C" w:rsidRPr="00FC7FF8" w:rsidRDefault="00FD0847" w:rsidP="00DD794A">
            <w:pPr>
              <w:jc w:val="center"/>
              <w:rPr>
                <w:rFonts w:ascii="Times New Roman" w:hAnsi="Times New Roman" w:cs="Times New Roman"/>
                <w:b/>
                <w:sz w:val="20"/>
                <w:szCs w:val="20"/>
              </w:rPr>
            </w:pPr>
            <w:r>
              <w:rPr>
                <w:rFonts w:ascii="Times New Roman" w:hAnsi="Times New Roman" w:cs="Times New Roman"/>
                <w:b/>
                <w:sz w:val="20"/>
                <w:szCs w:val="20"/>
              </w:rPr>
              <w:t>Ítem</w:t>
            </w:r>
          </w:p>
        </w:tc>
        <w:tc>
          <w:tcPr>
            <w:tcW w:w="900" w:type="dxa"/>
            <w:shd w:val="clear" w:color="auto" w:fill="D5DCE4" w:themeFill="text2" w:themeFillTint="33"/>
          </w:tcPr>
          <w:p w14:paraId="7E70F2DE" w14:textId="77777777" w:rsidR="00A7603C" w:rsidRPr="00FC7FF8" w:rsidRDefault="00A7603C" w:rsidP="00DD794A">
            <w:pPr>
              <w:jc w:val="both"/>
              <w:rPr>
                <w:rFonts w:ascii="Times New Roman" w:hAnsi="Times New Roman" w:cs="Times New Roman"/>
                <w:b/>
                <w:sz w:val="20"/>
                <w:szCs w:val="20"/>
              </w:rPr>
            </w:pPr>
            <w:r w:rsidRPr="00FC7FF8">
              <w:rPr>
                <w:rFonts w:ascii="Times New Roman" w:hAnsi="Times New Roman" w:cs="Times New Roman"/>
                <w:b/>
                <w:sz w:val="20"/>
                <w:szCs w:val="20"/>
              </w:rPr>
              <w:t>CVR</w:t>
            </w:r>
          </w:p>
        </w:tc>
      </w:tr>
      <w:tr w:rsidR="00A7603C" w:rsidRPr="00FC7FF8" w14:paraId="7E70F2E2" w14:textId="77777777" w:rsidTr="00FC7FF8">
        <w:tc>
          <w:tcPr>
            <w:tcW w:w="7938" w:type="dxa"/>
            <w:shd w:val="clear" w:color="auto" w:fill="D5DCE4" w:themeFill="text2" w:themeFillTint="33"/>
          </w:tcPr>
          <w:p w14:paraId="7E70F2E0" w14:textId="77777777" w:rsidR="00A7603C" w:rsidRPr="00FC7FF8" w:rsidRDefault="00A7603C" w:rsidP="00DD794A">
            <w:pPr>
              <w:ind w:right="-108"/>
              <w:jc w:val="both"/>
              <w:rPr>
                <w:rFonts w:ascii="Times New Roman" w:hAnsi="Times New Roman" w:cs="Times New Roman"/>
                <w:sz w:val="20"/>
                <w:szCs w:val="20"/>
              </w:rPr>
            </w:pPr>
            <w:r w:rsidRPr="00FC7FF8">
              <w:rPr>
                <w:rFonts w:ascii="Times New Roman" w:eastAsia="Times New Roman" w:hAnsi="Times New Roman" w:cs="Times New Roman"/>
                <w:color w:val="000000"/>
                <w:sz w:val="20"/>
                <w:szCs w:val="20"/>
              </w:rPr>
              <w:t>11. Guía a los alumnos en la elaboración de un cronograma de trabajo que se ajuste a los requerimientos del programa en la sede.</w:t>
            </w:r>
          </w:p>
        </w:tc>
        <w:tc>
          <w:tcPr>
            <w:tcW w:w="900" w:type="dxa"/>
            <w:shd w:val="clear" w:color="auto" w:fill="D5DCE4" w:themeFill="text2" w:themeFillTint="33"/>
          </w:tcPr>
          <w:p w14:paraId="7E70F2E1" w14:textId="77777777" w:rsidR="00A7603C" w:rsidRPr="00FC7FF8" w:rsidRDefault="00A7603C" w:rsidP="00DD794A">
            <w:pPr>
              <w:ind w:left="-108" w:right="-169"/>
              <w:jc w:val="center"/>
              <w:rPr>
                <w:rFonts w:ascii="Times New Roman" w:hAnsi="Times New Roman" w:cs="Times New Roman"/>
                <w:sz w:val="20"/>
                <w:szCs w:val="20"/>
              </w:rPr>
            </w:pPr>
            <w:r w:rsidRPr="00FC7FF8">
              <w:rPr>
                <w:rFonts w:ascii="Times New Roman" w:hAnsi="Times New Roman" w:cs="Times New Roman"/>
                <w:sz w:val="20"/>
                <w:szCs w:val="20"/>
              </w:rPr>
              <w:t>0.333</w:t>
            </w:r>
          </w:p>
        </w:tc>
      </w:tr>
      <w:tr w:rsidR="00A7603C" w:rsidRPr="00FC7FF8" w14:paraId="7E70F2E5" w14:textId="77777777" w:rsidTr="00FC7FF8">
        <w:tc>
          <w:tcPr>
            <w:tcW w:w="7938" w:type="dxa"/>
            <w:shd w:val="clear" w:color="auto" w:fill="D5DCE4" w:themeFill="text2" w:themeFillTint="33"/>
          </w:tcPr>
          <w:p w14:paraId="7E70F2E3" w14:textId="77777777" w:rsidR="00A7603C" w:rsidRPr="00FC7FF8" w:rsidRDefault="00A7603C" w:rsidP="00DD794A">
            <w:pPr>
              <w:ind w:right="-108"/>
              <w:jc w:val="both"/>
              <w:rPr>
                <w:rFonts w:ascii="Times New Roman" w:hAnsi="Times New Roman" w:cs="Times New Roman"/>
                <w:sz w:val="20"/>
                <w:szCs w:val="20"/>
              </w:rPr>
            </w:pPr>
            <w:r w:rsidRPr="00FC7FF8">
              <w:rPr>
                <w:rFonts w:ascii="Times New Roman" w:eastAsia="Times New Roman" w:hAnsi="Times New Roman" w:cs="Times New Roman"/>
                <w:color w:val="000000"/>
                <w:sz w:val="20"/>
                <w:szCs w:val="20"/>
              </w:rPr>
              <w:t>14. Orienta a los alumnos para que incluyan en la planificación de la intervención: lineamientos, procedimientos e instrumentos para realizar detección de necesidades.</w:t>
            </w:r>
          </w:p>
        </w:tc>
        <w:tc>
          <w:tcPr>
            <w:tcW w:w="900" w:type="dxa"/>
            <w:shd w:val="clear" w:color="auto" w:fill="D5DCE4" w:themeFill="text2" w:themeFillTint="33"/>
          </w:tcPr>
          <w:p w14:paraId="7E70F2E4" w14:textId="77777777" w:rsidR="00A7603C" w:rsidRPr="00FC7FF8" w:rsidRDefault="00A7603C" w:rsidP="00DD794A">
            <w:pPr>
              <w:ind w:left="-108" w:right="-169"/>
              <w:jc w:val="center"/>
              <w:rPr>
                <w:rFonts w:ascii="Times New Roman" w:hAnsi="Times New Roman" w:cs="Times New Roman"/>
                <w:sz w:val="20"/>
                <w:szCs w:val="20"/>
              </w:rPr>
            </w:pPr>
            <w:r w:rsidRPr="00FC7FF8">
              <w:rPr>
                <w:rFonts w:ascii="Times New Roman" w:hAnsi="Times New Roman" w:cs="Times New Roman"/>
                <w:sz w:val="20"/>
                <w:szCs w:val="20"/>
              </w:rPr>
              <w:t>0.5</w:t>
            </w:r>
          </w:p>
        </w:tc>
      </w:tr>
      <w:tr w:rsidR="00A7603C" w:rsidRPr="00FC7FF8" w14:paraId="7E70F2E8" w14:textId="77777777" w:rsidTr="00FC7FF8">
        <w:tc>
          <w:tcPr>
            <w:tcW w:w="7938" w:type="dxa"/>
            <w:shd w:val="clear" w:color="auto" w:fill="D5DCE4" w:themeFill="text2" w:themeFillTint="33"/>
          </w:tcPr>
          <w:p w14:paraId="7E70F2E6" w14:textId="77777777" w:rsidR="00A7603C" w:rsidRPr="00FC7FF8" w:rsidRDefault="00A7603C" w:rsidP="00DD794A">
            <w:pPr>
              <w:ind w:right="-108"/>
              <w:jc w:val="both"/>
              <w:rPr>
                <w:rFonts w:ascii="Times New Roman" w:hAnsi="Times New Roman" w:cs="Times New Roman"/>
                <w:sz w:val="20"/>
                <w:szCs w:val="20"/>
              </w:rPr>
            </w:pPr>
            <w:r w:rsidRPr="00FC7FF8">
              <w:rPr>
                <w:rFonts w:ascii="Times New Roman" w:eastAsia="Times New Roman" w:hAnsi="Times New Roman" w:cs="Times New Roman"/>
                <w:color w:val="000000"/>
                <w:sz w:val="20"/>
                <w:szCs w:val="20"/>
              </w:rPr>
              <w:t>18. Organiza sesiones de análisis de casos para que los alumnos vinculen la teoría con la práctica.</w:t>
            </w:r>
          </w:p>
        </w:tc>
        <w:tc>
          <w:tcPr>
            <w:tcW w:w="900" w:type="dxa"/>
            <w:shd w:val="clear" w:color="auto" w:fill="D5DCE4" w:themeFill="text2" w:themeFillTint="33"/>
          </w:tcPr>
          <w:p w14:paraId="7E70F2E7" w14:textId="77777777" w:rsidR="00A7603C" w:rsidRPr="00FC7FF8" w:rsidRDefault="00A7603C" w:rsidP="00DD794A">
            <w:pPr>
              <w:ind w:left="-108" w:right="-169"/>
              <w:jc w:val="center"/>
              <w:rPr>
                <w:rFonts w:ascii="Times New Roman" w:hAnsi="Times New Roman" w:cs="Times New Roman"/>
                <w:sz w:val="20"/>
                <w:szCs w:val="20"/>
              </w:rPr>
            </w:pPr>
            <w:r w:rsidRPr="00FC7FF8">
              <w:rPr>
                <w:rFonts w:ascii="Times New Roman" w:hAnsi="Times New Roman" w:cs="Times New Roman"/>
                <w:sz w:val="20"/>
                <w:szCs w:val="20"/>
              </w:rPr>
              <w:t>0.5</w:t>
            </w:r>
          </w:p>
        </w:tc>
      </w:tr>
      <w:tr w:rsidR="00A7603C" w:rsidRPr="00FC7FF8" w14:paraId="7E70F2EB" w14:textId="77777777" w:rsidTr="00FC7FF8">
        <w:tc>
          <w:tcPr>
            <w:tcW w:w="7938" w:type="dxa"/>
            <w:shd w:val="clear" w:color="auto" w:fill="D5DCE4" w:themeFill="text2" w:themeFillTint="33"/>
          </w:tcPr>
          <w:p w14:paraId="7E70F2E9" w14:textId="77777777" w:rsidR="00A7603C" w:rsidRPr="00FC7FF8" w:rsidRDefault="00A7603C" w:rsidP="00DD794A">
            <w:pPr>
              <w:ind w:right="-108"/>
              <w:jc w:val="both"/>
              <w:rPr>
                <w:rFonts w:ascii="Times New Roman" w:eastAsia="Times New Roman" w:hAnsi="Times New Roman" w:cs="Times New Roman"/>
                <w:color w:val="000000"/>
                <w:sz w:val="20"/>
                <w:szCs w:val="20"/>
              </w:rPr>
            </w:pPr>
            <w:r w:rsidRPr="00FC7FF8">
              <w:rPr>
                <w:rFonts w:ascii="Times New Roman" w:eastAsia="Times New Roman" w:hAnsi="Times New Roman" w:cs="Times New Roman"/>
                <w:color w:val="000000"/>
                <w:sz w:val="20"/>
                <w:szCs w:val="20"/>
              </w:rPr>
              <w:t>24. En el transcurso de una intervención se incorpora para modelar y/o corregir a los alumnos.</w:t>
            </w:r>
          </w:p>
        </w:tc>
        <w:tc>
          <w:tcPr>
            <w:tcW w:w="900" w:type="dxa"/>
            <w:shd w:val="clear" w:color="auto" w:fill="D5DCE4" w:themeFill="text2" w:themeFillTint="33"/>
          </w:tcPr>
          <w:p w14:paraId="7E70F2EA" w14:textId="77777777" w:rsidR="00A7603C" w:rsidRPr="00FC7FF8" w:rsidRDefault="00A7603C" w:rsidP="00DD794A">
            <w:pPr>
              <w:ind w:left="-108" w:right="-169"/>
              <w:jc w:val="center"/>
              <w:rPr>
                <w:rFonts w:ascii="Times New Roman" w:hAnsi="Times New Roman" w:cs="Times New Roman"/>
                <w:sz w:val="20"/>
                <w:szCs w:val="20"/>
              </w:rPr>
            </w:pPr>
            <w:r w:rsidRPr="00FC7FF8">
              <w:rPr>
                <w:rFonts w:ascii="Times New Roman" w:hAnsi="Times New Roman" w:cs="Times New Roman"/>
                <w:sz w:val="20"/>
                <w:szCs w:val="20"/>
              </w:rPr>
              <w:t>0.333</w:t>
            </w:r>
          </w:p>
        </w:tc>
      </w:tr>
      <w:tr w:rsidR="00A7603C" w:rsidRPr="00FC7FF8" w14:paraId="7E70F2EE" w14:textId="77777777" w:rsidTr="00FC7FF8">
        <w:tc>
          <w:tcPr>
            <w:tcW w:w="7938" w:type="dxa"/>
            <w:shd w:val="clear" w:color="auto" w:fill="D5DCE4" w:themeFill="text2" w:themeFillTint="33"/>
          </w:tcPr>
          <w:p w14:paraId="7E70F2EC" w14:textId="77777777" w:rsidR="00A7603C" w:rsidRPr="00FC7FF8" w:rsidRDefault="00A7603C" w:rsidP="00DD794A">
            <w:pPr>
              <w:ind w:right="-108"/>
              <w:jc w:val="both"/>
              <w:rPr>
                <w:rFonts w:ascii="Times New Roman" w:hAnsi="Times New Roman" w:cs="Times New Roman"/>
                <w:sz w:val="20"/>
                <w:szCs w:val="20"/>
              </w:rPr>
            </w:pPr>
            <w:r w:rsidRPr="00FC7FF8">
              <w:rPr>
                <w:rFonts w:ascii="Times New Roman" w:eastAsia="Times New Roman" w:hAnsi="Times New Roman" w:cs="Times New Roman"/>
                <w:color w:val="000000"/>
                <w:sz w:val="20"/>
                <w:szCs w:val="20"/>
              </w:rPr>
              <w:t>26. Utiliza diversos recursos didácticos para mostrar a los estudiantes cómo intervenir eficazmente en el escenario (videograbaciones, transcripciones de entrevistas, informes).</w:t>
            </w:r>
          </w:p>
        </w:tc>
        <w:tc>
          <w:tcPr>
            <w:tcW w:w="900" w:type="dxa"/>
            <w:shd w:val="clear" w:color="auto" w:fill="D5DCE4" w:themeFill="text2" w:themeFillTint="33"/>
          </w:tcPr>
          <w:p w14:paraId="7E70F2ED" w14:textId="77777777" w:rsidR="00A7603C" w:rsidRPr="00FC7FF8" w:rsidRDefault="00A7603C" w:rsidP="00DD794A">
            <w:pPr>
              <w:ind w:left="-108" w:right="-169"/>
              <w:jc w:val="center"/>
              <w:rPr>
                <w:rFonts w:ascii="Times New Roman" w:hAnsi="Times New Roman" w:cs="Times New Roman"/>
                <w:sz w:val="20"/>
                <w:szCs w:val="20"/>
              </w:rPr>
            </w:pPr>
            <w:r w:rsidRPr="00FC7FF8">
              <w:rPr>
                <w:rFonts w:ascii="Times New Roman" w:hAnsi="Times New Roman" w:cs="Times New Roman"/>
                <w:sz w:val="20"/>
                <w:szCs w:val="20"/>
              </w:rPr>
              <w:t>0.5</w:t>
            </w:r>
          </w:p>
        </w:tc>
      </w:tr>
      <w:tr w:rsidR="00A7603C" w:rsidRPr="00FC7FF8" w14:paraId="7E70F2F1" w14:textId="77777777" w:rsidTr="00FC7FF8">
        <w:tc>
          <w:tcPr>
            <w:tcW w:w="7938" w:type="dxa"/>
            <w:shd w:val="clear" w:color="auto" w:fill="D5DCE4" w:themeFill="text2" w:themeFillTint="33"/>
          </w:tcPr>
          <w:p w14:paraId="7E70F2EF" w14:textId="77777777" w:rsidR="00A7603C" w:rsidRPr="00FC7FF8" w:rsidRDefault="00A7603C" w:rsidP="00DD794A">
            <w:pPr>
              <w:ind w:right="-108"/>
              <w:jc w:val="both"/>
              <w:rPr>
                <w:rFonts w:ascii="Times New Roman" w:hAnsi="Times New Roman" w:cs="Times New Roman"/>
                <w:sz w:val="20"/>
                <w:szCs w:val="20"/>
              </w:rPr>
            </w:pPr>
            <w:r w:rsidRPr="00FC7FF8">
              <w:rPr>
                <w:rFonts w:ascii="Times New Roman" w:eastAsia="Times New Roman" w:hAnsi="Times New Roman" w:cs="Times New Roman"/>
                <w:color w:val="000000"/>
                <w:sz w:val="20"/>
                <w:szCs w:val="20"/>
              </w:rPr>
              <w:t>28. Cuando los alumnos se enfrentan a una situación de crisis, antes o durante la intervención, promueve apoyos de contención.</w:t>
            </w:r>
          </w:p>
        </w:tc>
        <w:tc>
          <w:tcPr>
            <w:tcW w:w="900" w:type="dxa"/>
            <w:shd w:val="clear" w:color="auto" w:fill="D5DCE4" w:themeFill="text2" w:themeFillTint="33"/>
          </w:tcPr>
          <w:p w14:paraId="7E70F2F0" w14:textId="77777777" w:rsidR="00A7603C" w:rsidRPr="00FC7FF8" w:rsidRDefault="00A7603C" w:rsidP="00DD794A">
            <w:pPr>
              <w:ind w:left="-108" w:right="-169"/>
              <w:jc w:val="center"/>
              <w:rPr>
                <w:rFonts w:ascii="Times New Roman" w:hAnsi="Times New Roman" w:cs="Times New Roman"/>
                <w:sz w:val="20"/>
                <w:szCs w:val="20"/>
              </w:rPr>
            </w:pPr>
            <w:r w:rsidRPr="00FC7FF8">
              <w:rPr>
                <w:rFonts w:ascii="Times New Roman" w:hAnsi="Times New Roman" w:cs="Times New Roman"/>
                <w:sz w:val="20"/>
                <w:szCs w:val="20"/>
              </w:rPr>
              <w:t>0.5</w:t>
            </w:r>
          </w:p>
        </w:tc>
      </w:tr>
      <w:tr w:rsidR="00A7603C" w:rsidRPr="00FC7FF8" w14:paraId="7E70F2F4" w14:textId="77777777" w:rsidTr="00FC7FF8">
        <w:tc>
          <w:tcPr>
            <w:tcW w:w="7938" w:type="dxa"/>
            <w:shd w:val="clear" w:color="auto" w:fill="D5DCE4" w:themeFill="text2" w:themeFillTint="33"/>
          </w:tcPr>
          <w:p w14:paraId="7E70F2F2" w14:textId="77777777" w:rsidR="00A7603C" w:rsidRPr="00FC7FF8" w:rsidRDefault="00A7603C" w:rsidP="00DD794A">
            <w:pPr>
              <w:ind w:right="-108"/>
              <w:jc w:val="both"/>
              <w:rPr>
                <w:rFonts w:ascii="Times New Roman" w:hAnsi="Times New Roman" w:cs="Times New Roman"/>
                <w:sz w:val="20"/>
                <w:szCs w:val="20"/>
              </w:rPr>
            </w:pPr>
            <w:r w:rsidRPr="00FC7FF8">
              <w:rPr>
                <w:rFonts w:ascii="Times New Roman" w:eastAsia="Times New Roman" w:hAnsi="Times New Roman" w:cs="Times New Roman"/>
                <w:color w:val="000000"/>
                <w:sz w:val="20"/>
                <w:szCs w:val="20"/>
              </w:rPr>
              <w:t>29. Promueve que los alumnos dialoguen acerca de los factores que influyen en los alcances y limitaciones de sus intervenciones.</w:t>
            </w:r>
          </w:p>
        </w:tc>
        <w:tc>
          <w:tcPr>
            <w:tcW w:w="900" w:type="dxa"/>
            <w:shd w:val="clear" w:color="auto" w:fill="D5DCE4" w:themeFill="text2" w:themeFillTint="33"/>
          </w:tcPr>
          <w:p w14:paraId="7E70F2F3" w14:textId="77777777" w:rsidR="00A7603C" w:rsidRPr="00FC7FF8" w:rsidRDefault="00A7603C" w:rsidP="00DD794A">
            <w:pPr>
              <w:ind w:left="-108" w:right="-169"/>
              <w:jc w:val="center"/>
              <w:rPr>
                <w:rFonts w:ascii="Times New Roman" w:hAnsi="Times New Roman" w:cs="Times New Roman"/>
                <w:sz w:val="20"/>
                <w:szCs w:val="20"/>
              </w:rPr>
            </w:pPr>
            <w:r w:rsidRPr="00FC7FF8">
              <w:rPr>
                <w:rFonts w:ascii="Times New Roman" w:hAnsi="Times New Roman" w:cs="Times New Roman"/>
                <w:sz w:val="20"/>
                <w:szCs w:val="20"/>
              </w:rPr>
              <w:t>0.5</w:t>
            </w:r>
          </w:p>
        </w:tc>
      </w:tr>
      <w:tr w:rsidR="00A7603C" w:rsidRPr="00FC7FF8" w14:paraId="7E70F2F7" w14:textId="77777777" w:rsidTr="00FC7FF8">
        <w:tc>
          <w:tcPr>
            <w:tcW w:w="7938" w:type="dxa"/>
            <w:shd w:val="clear" w:color="auto" w:fill="D5DCE4" w:themeFill="text2" w:themeFillTint="33"/>
          </w:tcPr>
          <w:p w14:paraId="7E70F2F5" w14:textId="77777777" w:rsidR="00A7603C" w:rsidRPr="00FC7FF8" w:rsidRDefault="00A7603C" w:rsidP="00DD794A">
            <w:pPr>
              <w:ind w:right="-108"/>
              <w:jc w:val="both"/>
              <w:rPr>
                <w:rFonts w:ascii="Times New Roman" w:hAnsi="Times New Roman" w:cs="Times New Roman"/>
                <w:sz w:val="20"/>
                <w:szCs w:val="20"/>
              </w:rPr>
            </w:pPr>
            <w:r w:rsidRPr="00FC7FF8">
              <w:rPr>
                <w:rFonts w:ascii="Times New Roman" w:eastAsia="Times New Roman" w:hAnsi="Times New Roman" w:cs="Times New Roman"/>
                <w:color w:val="000000"/>
                <w:sz w:val="20"/>
                <w:szCs w:val="20"/>
              </w:rPr>
              <w:t>34. Sugiere a los estudiantes materiales y lecturas específicas de acuerdo a las necesidades que detectó durante su intervención.</w:t>
            </w:r>
          </w:p>
        </w:tc>
        <w:tc>
          <w:tcPr>
            <w:tcW w:w="900" w:type="dxa"/>
            <w:shd w:val="clear" w:color="auto" w:fill="D5DCE4" w:themeFill="text2" w:themeFillTint="33"/>
          </w:tcPr>
          <w:p w14:paraId="7E70F2F6" w14:textId="77777777" w:rsidR="00A7603C" w:rsidRPr="00FC7FF8" w:rsidRDefault="00A7603C" w:rsidP="00DD794A">
            <w:pPr>
              <w:ind w:left="-108" w:right="-169"/>
              <w:jc w:val="center"/>
              <w:rPr>
                <w:rFonts w:ascii="Times New Roman" w:hAnsi="Times New Roman" w:cs="Times New Roman"/>
                <w:sz w:val="20"/>
                <w:szCs w:val="20"/>
              </w:rPr>
            </w:pPr>
            <w:r w:rsidRPr="00FC7FF8">
              <w:rPr>
                <w:rFonts w:ascii="Times New Roman" w:hAnsi="Times New Roman" w:cs="Times New Roman"/>
                <w:sz w:val="20"/>
                <w:szCs w:val="20"/>
              </w:rPr>
              <w:t>0.5</w:t>
            </w:r>
          </w:p>
        </w:tc>
      </w:tr>
      <w:tr w:rsidR="00A7603C" w:rsidRPr="00FC7FF8" w14:paraId="7E70F2FA" w14:textId="77777777" w:rsidTr="00FC7FF8">
        <w:tc>
          <w:tcPr>
            <w:tcW w:w="7938" w:type="dxa"/>
            <w:shd w:val="clear" w:color="auto" w:fill="D5DCE4" w:themeFill="text2" w:themeFillTint="33"/>
          </w:tcPr>
          <w:p w14:paraId="7E70F2F8" w14:textId="77777777" w:rsidR="00A7603C" w:rsidRPr="00FC7FF8" w:rsidRDefault="00A7603C" w:rsidP="00DD794A">
            <w:pPr>
              <w:ind w:right="-108"/>
              <w:jc w:val="both"/>
              <w:rPr>
                <w:rFonts w:ascii="Times New Roman" w:hAnsi="Times New Roman" w:cs="Times New Roman"/>
                <w:sz w:val="20"/>
                <w:szCs w:val="20"/>
              </w:rPr>
            </w:pPr>
            <w:r w:rsidRPr="00FC7FF8">
              <w:rPr>
                <w:rFonts w:ascii="Times New Roman" w:eastAsia="Times New Roman" w:hAnsi="Times New Roman" w:cs="Times New Roman"/>
                <w:color w:val="000000"/>
                <w:sz w:val="20"/>
                <w:szCs w:val="20"/>
              </w:rPr>
              <w:t>35. Apoya a los estudiantes a través de modelamiento e intervención directa para la solución de problemas que se presentan en el escenario.</w:t>
            </w:r>
          </w:p>
        </w:tc>
        <w:tc>
          <w:tcPr>
            <w:tcW w:w="900" w:type="dxa"/>
            <w:shd w:val="clear" w:color="auto" w:fill="D5DCE4" w:themeFill="text2" w:themeFillTint="33"/>
          </w:tcPr>
          <w:p w14:paraId="7E70F2F9" w14:textId="77777777" w:rsidR="00A7603C" w:rsidRPr="00FC7FF8" w:rsidRDefault="00A7603C" w:rsidP="00DD794A">
            <w:pPr>
              <w:ind w:left="-108" w:right="-169"/>
              <w:jc w:val="center"/>
              <w:rPr>
                <w:rFonts w:ascii="Times New Roman" w:hAnsi="Times New Roman" w:cs="Times New Roman"/>
                <w:sz w:val="20"/>
                <w:szCs w:val="20"/>
              </w:rPr>
            </w:pPr>
            <w:r w:rsidRPr="00FC7FF8">
              <w:rPr>
                <w:rFonts w:ascii="Times New Roman" w:hAnsi="Times New Roman" w:cs="Times New Roman"/>
                <w:sz w:val="20"/>
                <w:szCs w:val="20"/>
              </w:rPr>
              <w:t>0.333</w:t>
            </w:r>
          </w:p>
        </w:tc>
      </w:tr>
      <w:tr w:rsidR="00A7603C" w:rsidRPr="00FC7FF8" w14:paraId="7E70F2FD" w14:textId="77777777" w:rsidTr="00FC7FF8">
        <w:tc>
          <w:tcPr>
            <w:tcW w:w="7938" w:type="dxa"/>
            <w:shd w:val="clear" w:color="auto" w:fill="D5DCE4" w:themeFill="text2" w:themeFillTint="33"/>
          </w:tcPr>
          <w:p w14:paraId="7E70F2FB" w14:textId="77777777" w:rsidR="00A7603C" w:rsidRPr="00FC7FF8" w:rsidRDefault="00A7603C" w:rsidP="00DD794A">
            <w:pPr>
              <w:ind w:right="-108"/>
              <w:jc w:val="both"/>
              <w:rPr>
                <w:rFonts w:ascii="Times New Roman" w:hAnsi="Times New Roman" w:cs="Times New Roman"/>
                <w:sz w:val="20"/>
                <w:szCs w:val="20"/>
              </w:rPr>
            </w:pPr>
            <w:r w:rsidRPr="00FC7FF8">
              <w:rPr>
                <w:rFonts w:ascii="Times New Roman" w:eastAsia="Times New Roman" w:hAnsi="Times New Roman" w:cs="Times New Roman"/>
                <w:color w:val="000000"/>
                <w:sz w:val="20"/>
                <w:szCs w:val="20"/>
              </w:rPr>
              <w:t>41. Manifiesta sus emociones de manera oportuna ante situaciones que surgen durante el proceso de supervisión.</w:t>
            </w:r>
          </w:p>
        </w:tc>
        <w:tc>
          <w:tcPr>
            <w:tcW w:w="900" w:type="dxa"/>
            <w:shd w:val="clear" w:color="auto" w:fill="D5DCE4" w:themeFill="text2" w:themeFillTint="33"/>
          </w:tcPr>
          <w:p w14:paraId="7E70F2FC" w14:textId="77777777" w:rsidR="00A7603C" w:rsidRPr="00FC7FF8" w:rsidRDefault="00A7603C" w:rsidP="00DD794A">
            <w:pPr>
              <w:ind w:left="-108" w:right="-169"/>
              <w:jc w:val="center"/>
              <w:rPr>
                <w:rFonts w:ascii="Times New Roman" w:hAnsi="Times New Roman" w:cs="Times New Roman"/>
                <w:sz w:val="20"/>
                <w:szCs w:val="20"/>
              </w:rPr>
            </w:pPr>
            <w:r w:rsidRPr="00FC7FF8">
              <w:rPr>
                <w:rFonts w:ascii="Times New Roman" w:hAnsi="Times New Roman" w:cs="Times New Roman"/>
                <w:sz w:val="20"/>
                <w:szCs w:val="20"/>
              </w:rPr>
              <w:t>0.333</w:t>
            </w:r>
          </w:p>
        </w:tc>
      </w:tr>
      <w:tr w:rsidR="00A7603C" w:rsidRPr="00FC7FF8" w14:paraId="7E70F300" w14:textId="77777777" w:rsidTr="00FC7FF8">
        <w:tc>
          <w:tcPr>
            <w:tcW w:w="7938" w:type="dxa"/>
            <w:shd w:val="clear" w:color="auto" w:fill="D5DCE4" w:themeFill="text2" w:themeFillTint="33"/>
          </w:tcPr>
          <w:p w14:paraId="7E70F2FE" w14:textId="77777777" w:rsidR="00A7603C" w:rsidRPr="00FC7FF8" w:rsidRDefault="00A7603C" w:rsidP="00DD794A">
            <w:pPr>
              <w:ind w:right="-108"/>
              <w:jc w:val="both"/>
              <w:rPr>
                <w:rFonts w:ascii="Times New Roman" w:hAnsi="Times New Roman" w:cs="Times New Roman"/>
                <w:sz w:val="20"/>
                <w:szCs w:val="20"/>
              </w:rPr>
            </w:pPr>
            <w:r w:rsidRPr="00FC7FF8">
              <w:rPr>
                <w:rFonts w:ascii="Times New Roman" w:eastAsia="Times New Roman" w:hAnsi="Times New Roman" w:cs="Times New Roman"/>
                <w:color w:val="000000"/>
                <w:sz w:val="20"/>
                <w:szCs w:val="20"/>
              </w:rPr>
              <w:t>42. Manifiesta sus emociones de manera respetuosa ante situaciones que surjan durante el proceso de supervisión.</w:t>
            </w:r>
          </w:p>
        </w:tc>
        <w:tc>
          <w:tcPr>
            <w:tcW w:w="900" w:type="dxa"/>
            <w:shd w:val="clear" w:color="auto" w:fill="D5DCE4" w:themeFill="text2" w:themeFillTint="33"/>
          </w:tcPr>
          <w:p w14:paraId="7E70F2FF" w14:textId="77777777" w:rsidR="00A7603C" w:rsidRPr="00FC7FF8" w:rsidRDefault="00A7603C" w:rsidP="00DD794A">
            <w:pPr>
              <w:ind w:left="-108" w:right="-169"/>
              <w:jc w:val="center"/>
              <w:rPr>
                <w:rFonts w:ascii="Times New Roman" w:hAnsi="Times New Roman" w:cs="Times New Roman"/>
                <w:sz w:val="20"/>
                <w:szCs w:val="20"/>
              </w:rPr>
            </w:pPr>
            <w:r w:rsidRPr="00FC7FF8">
              <w:rPr>
                <w:rFonts w:ascii="Times New Roman" w:hAnsi="Times New Roman" w:cs="Times New Roman"/>
                <w:sz w:val="20"/>
                <w:szCs w:val="20"/>
              </w:rPr>
              <w:t>0.5</w:t>
            </w:r>
          </w:p>
        </w:tc>
      </w:tr>
      <w:tr w:rsidR="00A7603C" w:rsidRPr="00FC7FF8" w14:paraId="7E70F303" w14:textId="77777777" w:rsidTr="00FC7FF8">
        <w:tc>
          <w:tcPr>
            <w:tcW w:w="7938" w:type="dxa"/>
            <w:shd w:val="clear" w:color="auto" w:fill="D5DCE4" w:themeFill="text2" w:themeFillTint="33"/>
          </w:tcPr>
          <w:p w14:paraId="7E70F301" w14:textId="77777777" w:rsidR="00A7603C" w:rsidRPr="00FC7FF8" w:rsidRDefault="00A7603C" w:rsidP="00DD794A">
            <w:pPr>
              <w:ind w:right="-108"/>
              <w:jc w:val="both"/>
              <w:rPr>
                <w:rFonts w:ascii="Times New Roman" w:hAnsi="Times New Roman" w:cs="Times New Roman"/>
                <w:sz w:val="20"/>
                <w:szCs w:val="20"/>
              </w:rPr>
            </w:pPr>
            <w:r w:rsidRPr="00FC7FF8">
              <w:rPr>
                <w:rFonts w:ascii="Times New Roman" w:eastAsia="Times New Roman" w:hAnsi="Times New Roman" w:cs="Times New Roman"/>
                <w:color w:val="000000"/>
                <w:sz w:val="20"/>
                <w:szCs w:val="20"/>
              </w:rPr>
              <w:t>50. Durante las sesiones de supervisión considera un tiempo razonable para que el alumno pueda responder.</w:t>
            </w:r>
          </w:p>
        </w:tc>
        <w:tc>
          <w:tcPr>
            <w:tcW w:w="900" w:type="dxa"/>
            <w:shd w:val="clear" w:color="auto" w:fill="D5DCE4" w:themeFill="text2" w:themeFillTint="33"/>
          </w:tcPr>
          <w:p w14:paraId="7E70F302" w14:textId="77777777" w:rsidR="00A7603C" w:rsidRPr="00FC7FF8" w:rsidRDefault="00A7603C" w:rsidP="00DD794A">
            <w:pPr>
              <w:ind w:left="-108" w:right="-169"/>
              <w:jc w:val="center"/>
              <w:rPr>
                <w:rFonts w:ascii="Times New Roman" w:hAnsi="Times New Roman" w:cs="Times New Roman"/>
                <w:sz w:val="20"/>
                <w:szCs w:val="20"/>
              </w:rPr>
            </w:pPr>
            <w:r w:rsidRPr="00FC7FF8">
              <w:rPr>
                <w:rFonts w:ascii="Times New Roman" w:hAnsi="Times New Roman" w:cs="Times New Roman"/>
                <w:sz w:val="20"/>
                <w:szCs w:val="20"/>
              </w:rPr>
              <w:t>0.5</w:t>
            </w:r>
          </w:p>
        </w:tc>
      </w:tr>
      <w:tr w:rsidR="00A7603C" w:rsidRPr="00FC7FF8" w14:paraId="7E70F306" w14:textId="77777777" w:rsidTr="00FC7FF8">
        <w:tc>
          <w:tcPr>
            <w:tcW w:w="7938" w:type="dxa"/>
            <w:shd w:val="clear" w:color="auto" w:fill="D5DCE4" w:themeFill="text2" w:themeFillTint="33"/>
          </w:tcPr>
          <w:p w14:paraId="7E70F304" w14:textId="77777777" w:rsidR="00A7603C" w:rsidRPr="00FC7FF8" w:rsidRDefault="00A7603C" w:rsidP="00DD794A">
            <w:pPr>
              <w:ind w:right="-108"/>
              <w:jc w:val="both"/>
              <w:rPr>
                <w:rFonts w:ascii="Times New Roman" w:hAnsi="Times New Roman" w:cs="Times New Roman"/>
                <w:sz w:val="20"/>
                <w:szCs w:val="20"/>
              </w:rPr>
            </w:pPr>
            <w:r w:rsidRPr="00FC7FF8">
              <w:rPr>
                <w:rFonts w:ascii="Times New Roman" w:eastAsia="Times New Roman" w:hAnsi="Times New Roman" w:cs="Times New Roman"/>
                <w:color w:val="000000"/>
                <w:sz w:val="20"/>
                <w:szCs w:val="20"/>
              </w:rPr>
              <w:t>51. Comunica altas expectativas de desempeño a los estudiantes.</w:t>
            </w:r>
          </w:p>
        </w:tc>
        <w:tc>
          <w:tcPr>
            <w:tcW w:w="900" w:type="dxa"/>
            <w:shd w:val="clear" w:color="auto" w:fill="D5DCE4" w:themeFill="text2" w:themeFillTint="33"/>
          </w:tcPr>
          <w:p w14:paraId="7E70F305" w14:textId="77777777" w:rsidR="00A7603C" w:rsidRPr="00FC7FF8" w:rsidRDefault="00A7603C" w:rsidP="00DD794A">
            <w:pPr>
              <w:ind w:left="-108" w:right="-169"/>
              <w:jc w:val="center"/>
              <w:rPr>
                <w:rFonts w:ascii="Times New Roman" w:hAnsi="Times New Roman" w:cs="Times New Roman"/>
                <w:sz w:val="20"/>
                <w:szCs w:val="20"/>
              </w:rPr>
            </w:pPr>
            <w:r w:rsidRPr="00FC7FF8">
              <w:rPr>
                <w:rFonts w:ascii="Times New Roman" w:hAnsi="Times New Roman" w:cs="Times New Roman"/>
                <w:sz w:val="20"/>
                <w:szCs w:val="20"/>
              </w:rPr>
              <w:t>0.166</w:t>
            </w:r>
          </w:p>
        </w:tc>
      </w:tr>
    </w:tbl>
    <w:p w14:paraId="7E70F307" w14:textId="77777777" w:rsidR="00A7603C" w:rsidRPr="00FC7FF8" w:rsidRDefault="00A7603C" w:rsidP="00DD794A">
      <w:pPr>
        <w:spacing w:after="120" w:line="240" w:lineRule="auto"/>
        <w:jc w:val="both"/>
        <w:rPr>
          <w:rFonts w:ascii="Times New Roman" w:hAnsi="Times New Roman" w:cs="Times New Roman"/>
          <w:sz w:val="18"/>
          <w:szCs w:val="18"/>
        </w:rPr>
      </w:pPr>
      <w:r w:rsidRPr="00FC7FF8">
        <w:rPr>
          <w:rFonts w:ascii="Times New Roman" w:hAnsi="Times New Roman" w:cs="Times New Roman"/>
          <w:sz w:val="18"/>
          <w:szCs w:val="18"/>
        </w:rPr>
        <w:t>Nota: Elaboración propia.</w:t>
      </w:r>
    </w:p>
    <w:p w14:paraId="7E70F308" w14:textId="77777777" w:rsidR="00A7603C" w:rsidRPr="00AB0274" w:rsidRDefault="00627905" w:rsidP="00DD794A">
      <w:pPr>
        <w:spacing w:before="120" w:after="120" w:line="240" w:lineRule="auto"/>
        <w:ind w:firstLine="708"/>
        <w:jc w:val="both"/>
        <w:rPr>
          <w:rFonts w:ascii="Times New Roman" w:hAnsi="Times New Roman" w:cs="Times New Roman"/>
          <w:i/>
          <w:sz w:val="24"/>
          <w:szCs w:val="24"/>
        </w:rPr>
      </w:pPr>
      <w:r w:rsidRPr="00AB0274">
        <w:rPr>
          <w:rFonts w:ascii="Times New Roman" w:hAnsi="Times New Roman" w:cs="Times New Roman"/>
          <w:i/>
          <w:sz w:val="24"/>
          <w:szCs w:val="24"/>
        </w:rPr>
        <w:t>Fase 5. Integración del cuestionario</w:t>
      </w:r>
    </w:p>
    <w:p w14:paraId="7E70F309" w14:textId="77777777" w:rsidR="00A7603C" w:rsidRPr="00AB0274" w:rsidRDefault="00A7603C" w:rsidP="00DD794A">
      <w:pPr>
        <w:spacing w:before="120" w:after="120" w:line="240" w:lineRule="auto"/>
        <w:ind w:firstLine="708"/>
        <w:jc w:val="both"/>
        <w:rPr>
          <w:rFonts w:ascii="Times New Roman" w:hAnsi="Times New Roman" w:cs="Times New Roman"/>
          <w:sz w:val="24"/>
          <w:szCs w:val="24"/>
        </w:rPr>
      </w:pPr>
      <w:r w:rsidRPr="00AB0274">
        <w:rPr>
          <w:rFonts w:ascii="Times New Roman" w:hAnsi="Times New Roman" w:cs="Times New Roman"/>
          <w:sz w:val="24"/>
          <w:szCs w:val="24"/>
        </w:rPr>
        <w:t xml:space="preserve">Los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número 1, 9, 13, 14, 37, 38 y 47 obtuvieron un índice de homogeneidad corregido menor a 0.350, por lo cual se decidió eliminarlos del cuestionario. Con el cálculo del CVR se pudieron identificar trece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(11, 14, 18, 24, 26, 28, 29, 34, 35, 41, 42, 50 y 51) que pueden ser desechados por no lograr obtener un valor mínimo de 0.5823 en la razón mencionada, lo que significa que no son contenidos esenciales.</w:t>
      </w:r>
    </w:p>
    <w:p w14:paraId="7E70F30A" w14:textId="77777777" w:rsidR="00A7603C" w:rsidRPr="00AB0274" w:rsidRDefault="00A7603C" w:rsidP="00DD794A">
      <w:pPr>
        <w:spacing w:before="120" w:after="120" w:line="240" w:lineRule="auto"/>
        <w:ind w:firstLine="708"/>
        <w:jc w:val="both"/>
        <w:rPr>
          <w:rFonts w:ascii="Times New Roman" w:hAnsi="Times New Roman" w:cs="Times New Roman"/>
          <w:sz w:val="24"/>
          <w:szCs w:val="24"/>
        </w:rPr>
      </w:pPr>
      <w:r w:rsidRPr="00AB0274">
        <w:rPr>
          <w:rFonts w:ascii="Times New Roman" w:hAnsi="Times New Roman" w:cs="Times New Roman"/>
          <w:sz w:val="24"/>
          <w:szCs w:val="24"/>
        </w:rPr>
        <w:t xml:space="preserve">Con base en las decisiones tomadas partiendo de la información recabada, la segunda versión del cuestionario consta de 38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divididos en cinco competencias: (i) la competencia de “planear el programa de supervisión” compuesta por cinco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(ii) la competencia “gestionar el proceso de supervisión” que incluye 13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(iii) la competencia “dar seguimiento, ajustar y monitorear las acciones desarrolladas” constituida por ocho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(iv) la competencia “utilizar formas de comunicación adecuadas” que integra siete </w:t>
      </w:r>
      <w:r w:rsidR="002E4DF9">
        <w:rPr>
          <w:rFonts w:ascii="Times New Roman" w:hAnsi="Times New Roman" w:cs="Times New Roman"/>
          <w:sz w:val="24"/>
          <w:szCs w:val="24"/>
        </w:rPr>
        <w:t>ítems</w:t>
      </w:r>
      <w:r w:rsidRPr="00AB0274">
        <w:rPr>
          <w:rFonts w:ascii="Times New Roman" w:hAnsi="Times New Roman" w:cs="Times New Roman"/>
          <w:sz w:val="24"/>
          <w:szCs w:val="24"/>
        </w:rPr>
        <w:t>, y (v) la competencia “</w:t>
      </w:r>
      <w:r w:rsidRPr="00AB0274">
        <w:rPr>
          <w:rFonts w:ascii="Times New Roman" w:hAnsi="Times New Roman" w:cs="Times New Roman"/>
          <w:bCs/>
          <w:sz w:val="24"/>
          <w:szCs w:val="24"/>
        </w:rPr>
        <w:t xml:space="preserve">valorar  los procesos de supervisión individual y grupal” formada por </w:t>
      </w:r>
      <w:r w:rsidRPr="00AB0274">
        <w:rPr>
          <w:rFonts w:ascii="Times New Roman" w:hAnsi="Times New Roman" w:cs="Times New Roman"/>
          <w:sz w:val="24"/>
          <w:szCs w:val="24"/>
        </w:rPr>
        <w:t xml:space="preserve">cinco </w:t>
      </w:r>
      <w:r w:rsidR="002E4DF9">
        <w:rPr>
          <w:rFonts w:ascii="Times New Roman" w:hAnsi="Times New Roman" w:cs="Times New Roman"/>
          <w:sz w:val="24"/>
          <w:szCs w:val="24"/>
        </w:rPr>
        <w:t>ítems</w:t>
      </w:r>
      <w:r w:rsidRPr="00AB0274">
        <w:rPr>
          <w:rFonts w:ascii="Times New Roman" w:hAnsi="Times New Roman" w:cs="Times New Roman"/>
          <w:sz w:val="24"/>
          <w:szCs w:val="24"/>
        </w:rPr>
        <w:t>.</w:t>
      </w:r>
    </w:p>
    <w:p w14:paraId="7E70F30D" w14:textId="77777777" w:rsidR="00466145" w:rsidRPr="00AB0274" w:rsidRDefault="00466145" w:rsidP="00DD794A">
      <w:pPr>
        <w:spacing w:before="120" w:after="120" w:line="240" w:lineRule="auto"/>
        <w:ind w:firstLine="708"/>
        <w:jc w:val="both"/>
        <w:rPr>
          <w:rFonts w:ascii="Times New Roman" w:hAnsi="Times New Roman" w:cs="Times New Roman"/>
          <w:b/>
          <w:sz w:val="24"/>
          <w:szCs w:val="24"/>
        </w:rPr>
      </w:pPr>
      <w:r w:rsidRPr="00AB0274">
        <w:rPr>
          <w:rFonts w:ascii="Times New Roman" w:hAnsi="Times New Roman" w:cs="Times New Roman"/>
          <w:b/>
          <w:sz w:val="24"/>
          <w:szCs w:val="24"/>
        </w:rPr>
        <w:lastRenderedPageBreak/>
        <w:t xml:space="preserve">Estudio 3. Evidencias de </w:t>
      </w:r>
      <w:r w:rsidR="009032AA">
        <w:rPr>
          <w:rFonts w:ascii="Times New Roman" w:hAnsi="Times New Roman" w:cs="Times New Roman"/>
          <w:b/>
          <w:sz w:val="24"/>
          <w:szCs w:val="24"/>
        </w:rPr>
        <w:t>fiabilidad</w:t>
      </w:r>
      <w:r w:rsidRPr="00AB0274">
        <w:rPr>
          <w:rFonts w:ascii="Times New Roman" w:hAnsi="Times New Roman" w:cs="Times New Roman"/>
          <w:b/>
          <w:sz w:val="24"/>
          <w:szCs w:val="24"/>
        </w:rPr>
        <w:t xml:space="preserve"> y validez </w:t>
      </w:r>
    </w:p>
    <w:p w14:paraId="7E70F30E" w14:textId="77777777" w:rsidR="00216186" w:rsidRPr="00AB0274" w:rsidRDefault="00216186" w:rsidP="00DD794A">
      <w:pPr>
        <w:spacing w:before="120" w:after="120" w:line="240" w:lineRule="auto"/>
        <w:ind w:firstLine="708"/>
        <w:jc w:val="both"/>
        <w:rPr>
          <w:rFonts w:ascii="Times New Roman" w:hAnsi="Times New Roman" w:cs="Times New Roman"/>
          <w:sz w:val="24"/>
          <w:szCs w:val="24"/>
        </w:rPr>
      </w:pPr>
      <w:r w:rsidRPr="00AB0274">
        <w:rPr>
          <w:rFonts w:ascii="Times New Roman" w:hAnsi="Times New Roman" w:cs="Times New Roman"/>
          <w:sz w:val="24"/>
          <w:szCs w:val="24"/>
        </w:rPr>
        <w:t xml:space="preserve">Mediante este estudio se analizó la estructura interna del cuestionario diseñado en búsqueda de evidencias de validez y </w:t>
      </w:r>
      <w:r w:rsidR="009032AA">
        <w:rPr>
          <w:rFonts w:ascii="Times New Roman" w:hAnsi="Times New Roman" w:cs="Times New Roman"/>
          <w:sz w:val="24"/>
          <w:szCs w:val="24"/>
        </w:rPr>
        <w:t>fiabilidad</w:t>
      </w:r>
      <w:r w:rsidRPr="00AB0274">
        <w:rPr>
          <w:rFonts w:ascii="Times New Roman" w:hAnsi="Times New Roman" w:cs="Times New Roman"/>
          <w:sz w:val="24"/>
          <w:szCs w:val="24"/>
        </w:rPr>
        <w:t xml:space="preserve"> de las interpretaciones producto de su aplicación. De tal manera que en este apartado se presentan los resultados del AFE, AFC, la estructura final del cuestionario y una propuesta para la interpretación de los resultados.</w:t>
      </w:r>
    </w:p>
    <w:p w14:paraId="7E70F30F" w14:textId="77777777" w:rsidR="00216186" w:rsidRPr="00AB0274" w:rsidRDefault="00216186" w:rsidP="00DD794A">
      <w:pPr>
        <w:spacing w:before="120" w:after="120" w:line="240" w:lineRule="auto"/>
        <w:jc w:val="both"/>
        <w:rPr>
          <w:rFonts w:ascii="Times New Roman" w:hAnsi="Times New Roman" w:cs="Times New Roman"/>
          <w:b/>
          <w:i/>
          <w:sz w:val="24"/>
          <w:szCs w:val="24"/>
        </w:rPr>
      </w:pPr>
      <w:r w:rsidRPr="00AB0274">
        <w:rPr>
          <w:rFonts w:ascii="Times New Roman" w:hAnsi="Times New Roman" w:cs="Times New Roman"/>
          <w:sz w:val="24"/>
          <w:szCs w:val="24"/>
        </w:rPr>
        <w:tab/>
      </w:r>
      <w:r w:rsidRPr="00AB0274">
        <w:rPr>
          <w:rFonts w:ascii="Times New Roman" w:hAnsi="Times New Roman" w:cs="Times New Roman"/>
          <w:b/>
          <w:i/>
          <w:sz w:val="24"/>
          <w:szCs w:val="24"/>
        </w:rPr>
        <w:t>Análisis Factorial Exploratorio</w:t>
      </w:r>
    </w:p>
    <w:p w14:paraId="7E70F310" w14:textId="77777777" w:rsidR="00216186" w:rsidRPr="00AB0274" w:rsidRDefault="00216186" w:rsidP="00DD794A">
      <w:pPr>
        <w:pStyle w:val="Default"/>
        <w:spacing w:before="120" w:after="120"/>
        <w:jc w:val="both"/>
        <w:rPr>
          <w:rFonts w:ascii="Times New Roman" w:hAnsi="Times New Roman" w:cs="Times New Roman"/>
          <w:lang w:val="es-MX"/>
        </w:rPr>
      </w:pPr>
      <w:r w:rsidRPr="00AB0274">
        <w:rPr>
          <w:rFonts w:ascii="Times New Roman" w:hAnsi="Times New Roman" w:cs="Times New Roman"/>
        </w:rPr>
        <w:tab/>
      </w:r>
      <w:r w:rsidRPr="00AB0274">
        <w:rPr>
          <w:rFonts w:ascii="Times New Roman" w:hAnsi="Times New Roman" w:cs="Times New Roman"/>
          <w:lang w:val="es-MX"/>
        </w:rPr>
        <w:t>La extracción de factores se llevó a cabo con el método de Mínimos Cuadrados No Ponderados (ULS); al rotar los factores extraídos mediante el método PROMIN, se identificaron 3 variables que presentan una carga mayor o igual a 0.300 en más de un factor: ítems 16, 18 y 28 (ver tabla 6).</w:t>
      </w:r>
    </w:p>
    <w:p w14:paraId="7E70F311" w14:textId="77777777" w:rsidR="00216186" w:rsidRPr="006C4679" w:rsidRDefault="00216186" w:rsidP="00DD794A">
      <w:pPr>
        <w:spacing w:before="120" w:after="0" w:line="240" w:lineRule="auto"/>
        <w:jc w:val="both"/>
        <w:rPr>
          <w:rFonts w:ascii="Times New Roman" w:hAnsi="Times New Roman" w:cs="Times New Roman"/>
          <w:b/>
          <w:sz w:val="24"/>
          <w:szCs w:val="24"/>
        </w:rPr>
      </w:pPr>
      <w:r w:rsidRPr="006C4679">
        <w:rPr>
          <w:rFonts w:ascii="Times New Roman" w:hAnsi="Times New Roman" w:cs="Times New Roman"/>
          <w:b/>
          <w:sz w:val="24"/>
          <w:szCs w:val="24"/>
        </w:rPr>
        <w:t>Tabla 6</w:t>
      </w:r>
    </w:p>
    <w:p w14:paraId="7E70F312" w14:textId="77777777" w:rsidR="00216186" w:rsidRPr="00AB0274" w:rsidRDefault="00216186" w:rsidP="00DD794A">
      <w:pPr>
        <w:spacing w:after="120" w:line="240" w:lineRule="auto"/>
        <w:jc w:val="both"/>
        <w:rPr>
          <w:rFonts w:ascii="Times New Roman" w:hAnsi="Times New Roman" w:cs="Times New Roman"/>
          <w:i/>
          <w:sz w:val="24"/>
          <w:szCs w:val="24"/>
        </w:rPr>
      </w:pPr>
      <w:r w:rsidRPr="00AB0274">
        <w:rPr>
          <w:rFonts w:ascii="Times New Roman" w:hAnsi="Times New Roman" w:cs="Times New Roman"/>
          <w:i/>
          <w:sz w:val="24"/>
          <w:szCs w:val="24"/>
        </w:rPr>
        <w:t>Matriz factorial* rotada** de dos factores.</w:t>
      </w:r>
    </w:p>
    <w:tbl>
      <w:tblPr>
        <w:tblStyle w:val="Tablaconcuadrcula"/>
        <w:tblW w:w="0" w:type="auto"/>
        <w:tblBorders>
          <w:left w:val="none" w:sz="0" w:space="0" w:color="auto"/>
          <w:right w:val="none" w:sz="0" w:space="0" w:color="auto"/>
          <w:insideH w:val="single" w:sz="4" w:space="0" w:color="FFFFFF" w:themeColor="background1"/>
          <w:insideV w:val="none" w:sz="0" w:space="0" w:color="auto"/>
        </w:tblBorders>
        <w:shd w:val="clear" w:color="auto" w:fill="D5DCE4" w:themeFill="text2" w:themeFillTint="33"/>
        <w:tblLook w:val="04A0" w:firstRow="1" w:lastRow="0" w:firstColumn="1" w:lastColumn="0" w:noHBand="0" w:noVBand="1"/>
      </w:tblPr>
      <w:tblGrid>
        <w:gridCol w:w="1384"/>
        <w:gridCol w:w="3260"/>
        <w:gridCol w:w="4334"/>
      </w:tblGrid>
      <w:tr w:rsidR="00216186" w:rsidRPr="00FC7FF8" w14:paraId="7E70F316" w14:textId="77777777" w:rsidTr="00EE021D">
        <w:tc>
          <w:tcPr>
            <w:tcW w:w="1384" w:type="dxa"/>
            <w:shd w:val="clear" w:color="auto" w:fill="D5DCE4" w:themeFill="text2" w:themeFillTint="33"/>
          </w:tcPr>
          <w:p w14:paraId="7E70F313"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Ítem</w:t>
            </w:r>
          </w:p>
        </w:tc>
        <w:tc>
          <w:tcPr>
            <w:tcW w:w="3260" w:type="dxa"/>
            <w:shd w:val="clear" w:color="auto" w:fill="D5DCE4" w:themeFill="text2" w:themeFillTint="33"/>
          </w:tcPr>
          <w:p w14:paraId="7E70F314"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Factor 1</w:t>
            </w:r>
          </w:p>
        </w:tc>
        <w:tc>
          <w:tcPr>
            <w:tcW w:w="4334" w:type="dxa"/>
            <w:shd w:val="clear" w:color="auto" w:fill="D5DCE4" w:themeFill="text2" w:themeFillTint="33"/>
          </w:tcPr>
          <w:p w14:paraId="7E70F315"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Factor 2</w:t>
            </w:r>
          </w:p>
        </w:tc>
      </w:tr>
      <w:tr w:rsidR="00216186" w:rsidRPr="00FC7FF8" w14:paraId="7E70F31A" w14:textId="77777777" w:rsidTr="00EE021D">
        <w:tc>
          <w:tcPr>
            <w:tcW w:w="1384" w:type="dxa"/>
            <w:shd w:val="clear" w:color="auto" w:fill="D5DCE4" w:themeFill="text2" w:themeFillTint="33"/>
          </w:tcPr>
          <w:p w14:paraId="7E70F317"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18"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19"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0.835</w:t>
            </w:r>
          </w:p>
        </w:tc>
      </w:tr>
      <w:tr w:rsidR="00216186" w:rsidRPr="00FC7FF8" w14:paraId="7E70F31E" w14:textId="77777777" w:rsidTr="00EE021D">
        <w:tc>
          <w:tcPr>
            <w:tcW w:w="1384" w:type="dxa"/>
            <w:shd w:val="clear" w:color="auto" w:fill="D5DCE4" w:themeFill="text2" w:themeFillTint="33"/>
          </w:tcPr>
          <w:p w14:paraId="7E70F31B"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1C"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1D"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0.662</w:t>
            </w:r>
          </w:p>
        </w:tc>
      </w:tr>
      <w:tr w:rsidR="00216186" w:rsidRPr="00FC7FF8" w14:paraId="7E70F322" w14:textId="77777777" w:rsidTr="00EE021D">
        <w:tc>
          <w:tcPr>
            <w:tcW w:w="1384" w:type="dxa"/>
            <w:shd w:val="clear" w:color="auto" w:fill="D5DCE4" w:themeFill="text2" w:themeFillTint="33"/>
          </w:tcPr>
          <w:p w14:paraId="7E70F31F"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20"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21"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0.772</w:t>
            </w:r>
          </w:p>
        </w:tc>
      </w:tr>
      <w:tr w:rsidR="00216186" w:rsidRPr="00FC7FF8" w14:paraId="7E70F326" w14:textId="77777777" w:rsidTr="00EE021D">
        <w:tc>
          <w:tcPr>
            <w:tcW w:w="1384" w:type="dxa"/>
            <w:shd w:val="clear" w:color="auto" w:fill="D5DCE4" w:themeFill="text2" w:themeFillTint="33"/>
          </w:tcPr>
          <w:p w14:paraId="7E70F323"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24"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25"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0.888</w:t>
            </w:r>
          </w:p>
        </w:tc>
      </w:tr>
      <w:tr w:rsidR="00216186" w:rsidRPr="00FC7FF8" w14:paraId="7E70F32A" w14:textId="77777777" w:rsidTr="00EE021D">
        <w:tc>
          <w:tcPr>
            <w:tcW w:w="1384" w:type="dxa"/>
            <w:shd w:val="clear" w:color="auto" w:fill="D5DCE4" w:themeFill="text2" w:themeFillTint="33"/>
          </w:tcPr>
          <w:p w14:paraId="7E70F327"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28"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29"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0.961</w:t>
            </w:r>
          </w:p>
        </w:tc>
      </w:tr>
      <w:tr w:rsidR="00216186" w:rsidRPr="00FC7FF8" w14:paraId="7E70F32E" w14:textId="77777777" w:rsidTr="00EE021D">
        <w:tc>
          <w:tcPr>
            <w:tcW w:w="1384" w:type="dxa"/>
            <w:shd w:val="clear" w:color="auto" w:fill="D5DCE4" w:themeFill="text2" w:themeFillTint="33"/>
          </w:tcPr>
          <w:p w14:paraId="7E70F32B"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2C"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2D"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0.350</w:t>
            </w:r>
          </w:p>
        </w:tc>
      </w:tr>
      <w:tr w:rsidR="00216186" w:rsidRPr="00FC7FF8" w14:paraId="7E70F332" w14:textId="77777777" w:rsidTr="00EE021D">
        <w:tc>
          <w:tcPr>
            <w:tcW w:w="1384" w:type="dxa"/>
            <w:shd w:val="clear" w:color="auto" w:fill="D5DCE4" w:themeFill="text2" w:themeFillTint="33"/>
          </w:tcPr>
          <w:p w14:paraId="7E70F32F"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30"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0.663</w:t>
            </w:r>
          </w:p>
        </w:tc>
        <w:tc>
          <w:tcPr>
            <w:tcW w:w="4334" w:type="dxa"/>
            <w:shd w:val="clear" w:color="auto" w:fill="D5DCE4" w:themeFill="text2" w:themeFillTint="33"/>
          </w:tcPr>
          <w:p w14:paraId="7E70F331"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36" w14:textId="77777777" w:rsidTr="00EE021D">
        <w:tc>
          <w:tcPr>
            <w:tcW w:w="1384" w:type="dxa"/>
            <w:shd w:val="clear" w:color="auto" w:fill="D5DCE4" w:themeFill="text2" w:themeFillTint="33"/>
          </w:tcPr>
          <w:p w14:paraId="7E70F333"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34"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0.581</w:t>
            </w:r>
          </w:p>
        </w:tc>
        <w:tc>
          <w:tcPr>
            <w:tcW w:w="4334" w:type="dxa"/>
            <w:shd w:val="clear" w:color="auto" w:fill="D5DCE4" w:themeFill="text2" w:themeFillTint="33"/>
          </w:tcPr>
          <w:p w14:paraId="7E70F335"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3A" w14:textId="77777777" w:rsidTr="00EE021D">
        <w:tc>
          <w:tcPr>
            <w:tcW w:w="1384" w:type="dxa"/>
            <w:shd w:val="clear" w:color="auto" w:fill="D5DCE4" w:themeFill="text2" w:themeFillTint="33"/>
          </w:tcPr>
          <w:p w14:paraId="7E70F337"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38"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0.532</w:t>
            </w:r>
          </w:p>
        </w:tc>
        <w:tc>
          <w:tcPr>
            <w:tcW w:w="4334" w:type="dxa"/>
            <w:shd w:val="clear" w:color="auto" w:fill="D5DCE4" w:themeFill="text2" w:themeFillTint="33"/>
          </w:tcPr>
          <w:p w14:paraId="7E70F339"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3E" w14:textId="77777777" w:rsidTr="00EE021D">
        <w:tc>
          <w:tcPr>
            <w:tcW w:w="1384" w:type="dxa"/>
            <w:shd w:val="clear" w:color="auto" w:fill="D5DCE4" w:themeFill="text2" w:themeFillTint="33"/>
          </w:tcPr>
          <w:p w14:paraId="7E70F33B"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3C"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3D"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0.565</w:t>
            </w:r>
          </w:p>
        </w:tc>
      </w:tr>
      <w:tr w:rsidR="00216186" w:rsidRPr="00FC7FF8" w14:paraId="7E70F342" w14:textId="77777777" w:rsidTr="00EE021D">
        <w:tc>
          <w:tcPr>
            <w:tcW w:w="1384" w:type="dxa"/>
            <w:shd w:val="clear" w:color="auto" w:fill="D5DCE4" w:themeFill="text2" w:themeFillTint="33"/>
          </w:tcPr>
          <w:p w14:paraId="7E70F33F"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40"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0.500</w:t>
            </w:r>
          </w:p>
        </w:tc>
        <w:tc>
          <w:tcPr>
            <w:tcW w:w="4334" w:type="dxa"/>
            <w:shd w:val="clear" w:color="auto" w:fill="D5DCE4" w:themeFill="text2" w:themeFillTint="33"/>
          </w:tcPr>
          <w:p w14:paraId="7E70F341"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46" w14:textId="77777777" w:rsidTr="00EE021D">
        <w:tc>
          <w:tcPr>
            <w:tcW w:w="1384" w:type="dxa"/>
            <w:shd w:val="clear" w:color="auto" w:fill="D5DCE4" w:themeFill="text2" w:themeFillTint="33"/>
          </w:tcPr>
          <w:p w14:paraId="7E70F343"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D5DCE4" w:themeFill="text2" w:themeFillTint="33"/>
          </w:tcPr>
          <w:p w14:paraId="7E70F344"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0.828</w:t>
            </w:r>
          </w:p>
        </w:tc>
        <w:tc>
          <w:tcPr>
            <w:tcW w:w="4334" w:type="dxa"/>
            <w:shd w:val="clear" w:color="auto" w:fill="D5DCE4" w:themeFill="text2" w:themeFillTint="33"/>
          </w:tcPr>
          <w:p w14:paraId="7E70F345"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4A" w14:textId="77777777" w:rsidTr="00EE021D">
        <w:tc>
          <w:tcPr>
            <w:tcW w:w="1384" w:type="dxa"/>
            <w:shd w:val="clear" w:color="auto" w:fill="D5DCE4" w:themeFill="text2" w:themeFillTint="33"/>
          </w:tcPr>
          <w:p w14:paraId="7E70F347"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D5DCE4" w:themeFill="text2" w:themeFillTint="33"/>
          </w:tcPr>
          <w:p w14:paraId="7E70F348"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0.754</w:t>
            </w:r>
          </w:p>
        </w:tc>
        <w:tc>
          <w:tcPr>
            <w:tcW w:w="4334" w:type="dxa"/>
            <w:shd w:val="clear" w:color="auto" w:fill="D5DCE4" w:themeFill="text2" w:themeFillTint="33"/>
          </w:tcPr>
          <w:p w14:paraId="7E70F349"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4E" w14:textId="77777777" w:rsidTr="00EE021D">
        <w:tc>
          <w:tcPr>
            <w:tcW w:w="1384" w:type="dxa"/>
            <w:shd w:val="clear" w:color="auto" w:fill="D5DCE4" w:themeFill="text2" w:themeFillTint="33"/>
          </w:tcPr>
          <w:p w14:paraId="7E70F34B"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D5DCE4" w:themeFill="text2" w:themeFillTint="33"/>
          </w:tcPr>
          <w:p w14:paraId="7E70F34C"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0.541</w:t>
            </w:r>
          </w:p>
        </w:tc>
        <w:tc>
          <w:tcPr>
            <w:tcW w:w="4334" w:type="dxa"/>
            <w:shd w:val="clear" w:color="auto" w:fill="D5DCE4" w:themeFill="text2" w:themeFillTint="33"/>
          </w:tcPr>
          <w:p w14:paraId="7E70F34D"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52" w14:textId="77777777" w:rsidTr="00EE021D">
        <w:tc>
          <w:tcPr>
            <w:tcW w:w="1384" w:type="dxa"/>
            <w:shd w:val="clear" w:color="auto" w:fill="D5DCE4" w:themeFill="text2" w:themeFillTint="33"/>
          </w:tcPr>
          <w:p w14:paraId="7E70F34F"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D5DCE4" w:themeFill="text2" w:themeFillTint="33"/>
          </w:tcPr>
          <w:p w14:paraId="7E70F350"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0.617</w:t>
            </w:r>
          </w:p>
        </w:tc>
        <w:tc>
          <w:tcPr>
            <w:tcW w:w="4334" w:type="dxa"/>
            <w:shd w:val="clear" w:color="auto" w:fill="D5DCE4" w:themeFill="text2" w:themeFillTint="33"/>
          </w:tcPr>
          <w:p w14:paraId="7E70F351"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56" w14:textId="77777777" w:rsidTr="00EE021D">
        <w:tc>
          <w:tcPr>
            <w:tcW w:w="1384" w:type="dxa"/>
            <w:shd w:val="clear" w:color="auto" w:fill="8496B0" w:themeFill="text2" w:themeFillTint="99"/>
          </w:tcPr>
          <w:p w14:paraId="7E70F353"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8496B0" w:themeFill="text2" w:themeFillTint="99"/>
          </w:tcPr>
          <w:p w14:paraId="7E70F354"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0.371</w:t>
            </w:r>
          </w:p>
        </w:tc>
        <w:tc>
          <w:tcPr>
            <w:tcW w:w="4334" w:type="dxa"/>
            <w:shd w:val="clear" w:color="auto" w:fill="8496B0" w:themeFill="text2" w:themeFillTint="99"/>
          </w:tcPr>
          <w:p w14:paraId="7E70F355"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0.389</w:t>
            </w:r>
          </w:p>
        </w:tc>
      </w:tr>
      <w:tr w:rsidR="00216186" w:rsidRPr="00FC7FF8" w14:paraId="7E70F35A" w14:textId="77777777" w:rsidTr="00EE021D">
        <w:tc>
          <w:tcPr>
            <w:tcW w:w="1384" w:type="dxa"/>
            <w:shd w:val="clear" w:color="auto" w:fill="D5DCE4" w:themeFill="text2" w:themeFillTint="33"/>
          </w:tcPr>
          <w:p w14:paraId="7E70F357"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D5DCE4" w:themeFill="text2" w:themeFillTint="33"/>
          </w:tcPr>
          <w:p w14:paraId="7E70F358"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0.912</w:t>
            </w:r>
          </w:p>
        </w:tc>
        <w:tc>
          <w:tcPr>
            <w:tcW w:w="4334" w:type="dxa"/>
            <w:shd w:val="clear" w:color="auto" w:fill="D5DCE4" w:themeFill="text2" w:themeFillTint="33"/>
          </w:tcPr>
          <w:p w14:paraId="7E70F359"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5E" w14:textId="77777777" w:rsidTr="00EE021D">
        <w:tc>
          <w:tcPr>
            <w:tcW w:w="1384" w:type="dxa"/>
            <w:shd w:val="clear" w:color="auto" w:fill="8496B0" w:themeFill="text2" w:themeFillTint="99"/>
          </w:tcPr>
          <w:p w14:paraId="7E70F35B"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8496B0" w:themeFill="text2" w:themeFillTint="99"/>
          </w:tcPr>
          <w:p w14:paraId="7E70F35C"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1.030</w:t>
            </w:r>
          </w:p>
        </w:tc>
        <w:tc>
          <w:tcPr>
            <w:tcW w:w="4334" w:type="dxa"/>
            <w:shd w:val="clear" w:color="auto" w:fill="8496B0" w:themeFill="text2" w:themeFillTint="99"/>
          </w:tcPr>
          <w:p w14:paraId="7E70F35D"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-0.429</w:t>
            </w:r>
          </w:p>
        </w:tc>
      </w:tr>
      <w:tr w:rsidR="00216186" w:rsidRPr="00FC7FF8" w14:paraId="7E70F362" w14:textId="77777777" w:rsidTr="00EE021D">
        <w:tc>
          <w:tcPr>
            <w:tcW w:w="1384" w:type="dxa"/>
            <w:shd w:val="clear" w:color="auto" w:fill="D5DCE4" w:themeFill="text2" w:themeFillTint="33"/>
          </w:tcPr>
          <w:p w14:paraId="7E70F35F"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D5DCE4" w:themeFill="text2" w:themeFillTint="33"/>
          </w:tcPr>
          <w:p w14:paraId="7E70F360"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0.964</w:t>
            </w:r>
          </w:p>
        </w:tc>
        <w:tc>
          <w:tcPr>
            <w:tcW w:w="4334" w:type="dxa"/>
            <w:shd w:val="clear" w:color="auto" w:fill="D5DCE4" w:themeFill="text2" w:themeFillTint="33"/>
          </w:tcPr>
          <w:p w14:paraId="7E70F361"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66" w14:textId="77777777" w:rsidTr="00EE021D">
        <w:tc>
          <w:tcPr>
            <w:tcW w:w="1384" w:type="dxa"/>
            <w:shd w:val="clear" w:color="auto" w:fill="D5DCE4" w:themeFill="text2" w:themeFillTint="33"/>
          </w:tcPr>
          <w:p w14:paraId="7E70F363"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D5DCE4" w:themeFill="text2" w:themeFillTint="33"/>
          </w:tcPr>
          <w:p w14:paraId="7E70F364"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0.826</w:t>
            </w:r>
          </w:p>
        </w:tc>
        <w:tc>
          <w:tcPr>
            <w:tcW w:w="4334" w:type="dxa"/>
            <w:shd w:val="clear" w:color="auto" w:fill="D5DCE4" w:themeFill="text2" w:themeFillTint="33"/>
          </w:tcPr>
          <w:p w14:paraId="7E70F365"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6A" w14:textId="77777777" w:rsidTr="00EE021D">
        <w:tc>
          <w:tcPr>
            <w:tcW w:w="1384" w:type="dxa"/>
            <w:shd w:val="clear" w:color="auto" w:fill="D5DCE4" w:themeFill="text2" w:themeFillTint="33"/>
          </w:tcPr>
          <w:p w14:paraId="7E70F367"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D5DCE4" w:themeFill="text2" w:themeFillTint="33"/>
          </w:tcPr>
          <w:p w14:paraId="7E70F368"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0.924</w:t>
            </w:r>
          </w:p>
        </w:tc>
        <w:tc>
          <w:tcPr>
            <w:tcW w:w="4334" w:type="dxa"/>
            <w:shd w:val="clear" w:color="auto" w:fill="D5DCE4" w:themeFill="text2" w:themeFillTint="33"/>
          </w:tcPr>
          <w:p w14:paraId="7E70F369"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6E" w14:textId="77777777" w:rsidTr="00EE021D">
        <w:tc>
          <w:tcPr>
            <w:tcW w:w="1384" w:type="dxa"/>
            <w:shd w:val="clear" w:color="auto" w:fill="D5DCE4" w:themeFill="text2" w:themeFillTint="33"/>
          </w:tcPr>
          <w:p w14:paraId="7E70F36B"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D5DCE4" w:themeFill="text2" w:themeFillTint="33"/>
          </w:tcPr>
          <w:p w14:paraId="7E70F36C"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0.514</w:t>
            </w:r>
          </w:p>
        </w:tc>
        <w:tc>
          <w:tcPr>
            <w:tcW w:w="4334" w:type="dxa"/>
            <w:shd w:val="clear" w:color="auto" w:fill="D5DCE4" w:themeFill="text2" w:themeFillTint="33"/>
          </w:tcPr>
          <w:p w14:paraId="7E70F36D"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72" w14:textId="77777777" w:rsidTr="00EE021D">
        <w:tc>
          <w:tcPr>
            <w:tcW w:w="1384" w:type="dxa"/>
            <w:shd w:val="clear" w:color="auto" w:fill="D5DCE4" w:themeFill="text2" w:themeFillTint="33"/>
          </w:tcPr>
          <w:p w14:paraId="7E70F36F"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D5DCE4" w:themeFill="text2" w:themeFillTint="33"/>
          </w:tcPr>
          <w:p w14:paraId="7E70F370"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0.645</w:t>
            </w:r>
          </w:p>
        </w:tc>
        <w:tc>
          <w:tcPr>
            <w:tcW w:w="4334" w:type="dxa"/>
            <w:shd w:val="clear" w:color="auto" w:fill="D5DCE4" w:themeFill="text2" w:themeFillTint="33"/>
          </w:tcPr>
          <w:p w14:paraId="7E70F371"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76" w14:textId="77777777" w:rsidTr="00EE021D">
        <w:tc>
          <w:tcPr>
            <w:tcW w:w="1384" w:type="dxa"/>
            <w:shd w:val="clear" w:color="auto" w:fill="D5DCE4" w:themeFill="text2" w:themeFillTint="33"/>
          </w:tcPr>
          <w:p w14:paraId="7E70F373"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D5DCE4" w:themeFill="text2" w:themeFillTint="33"/>
          </w:tcPr>
          <w:p w14:paraId="7E70F374"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0.562</w:t>
            </w:r>
          </w:p>
        </w:tc>
        <w:tc>
          <w:tcPr>
            <w:tcW w:w="4334" w:type="dxa"/>
            <w:shd w:val="clear" w:color="auto" w:fill="D5DCE4" w:themeFill="text2" w:themeFillTint="33"/>
          </w:tcPr>
          <w:p w14:paraId="7E70F375"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7A" w14:textId="77777777" w:rsidTr="00EE021D">
        <w:tc>
          <w:tcPr>
            <w:tcW w:w="1384" w:type="dxa"/>
            <w:shd w:val="clear" w:color="auto" w:fill="D5DCE4" w:themeFill="text2" w:themeFillTint="33"/>
          </w:tcPr>
          <w:p w14:paraId="7E70F377"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D5DCE4" w:themeFill="text2" w:themeFillTint="33"/>
          </w:tcPr>
          <w:p w14:paraId="7E70F378"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0.681</w:t>
            </w:r>
          </w:p>
        </w:tc>
        <w:tc>
          <w:tcPr>
            <w:tcW w:w="4334" w:type="dxa"/>
            <w:shd w:val="clear" w:color="auto" w:fill="D5DCE4" w:themeFill="text2" w:themeFillTint="33"/>
          </w:tcPr>
          <w:p w14:paraId="7E70F379"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7E" w14:textId="77777777" w:rsidTr="00EE021D">
        <w:tc>
          <w:tcPr>
            <w:tcW w:w="1384" w:type="dxa"/>
            <w:shd w:val="clear" w:color="auto" w:fill="D5DCE4" w:themeFill="text2" w:themeFillTint="33"/>
          </w:tcPr>
          <w:p w14:paraId="7E70F37B"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D5DCE4" w:themeFill="text2" w:themeFillTint="33"/>
          </w:tcPr>
          <w:p w14:paraId="7E70F37C"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0.717</w:t>
            </w:r>
          </w:p>
        </w:tc>
        <w:tc>
          <w:tcPr>
            <w:tcW w:w="4334" w:type="dxa"/>
            <w:shd w:val="clear" w:color="auto" w:fill="D5DCE4" w:themeFill="text2" w:themeFillTint="33"/>
          </w:tcPr>
          <w:p w14:paraId="7E70F37D" w14:textId="77777777" w:rsidR="00216186" w:rsidRPr="00EE021D" w:rsidRDefault="00216186" w:rsidP="00DD794A">
            <w:pPr>
              <w:jc w:val="center"/>
              <w:rPr>
                <w:rFonts w:ascii="Times New Roman" w:hAnsi="Times New Roman" w:cs="Times New Roman"/>
                <w:sz w:val="20"/>
                <w:szCs w:val="20"/>
              </w:rPr>
            </w:pPr>
          </w:p>
        </w:tc>
      </w:tr>
      <w:tr w:rsidR="00216186" w:rsidRPr="00FC7FF8" w14:paraId="7E70F382" w14:textId="77777777" w:rsidTr="00EE021D">
        <w:tc>
          <w:tcPr>
            <w:tcW w:w="1384" w:type="dxa"/>
            <w:shd w:val="clear" w:color="auto" w:fill="D5DCE4" w:themeFill="text2" w:themeFillTint="33"/>
          </w:tcPr>
          <w:p w14:paraId="7E70F37F"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D5DCE4" w:themeFill="text2" w:themeFillTint="33"/>
          </w:tcPr>
          <w:p w14:paraId="7E70F380"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81"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0.540</w:t>
            </w:r>
          </w:p>
        </w:tc>
      </w:tr>
      <w:tr w:rsidR="00216186" w:rsidRPr="00FC7FF8" w14:paraId="7E70F386" w14:textId="77777777" w:rsidTr="00EE021D">
        <w:tc>
          <w:tcPr>
            <w:tcW w:w="1384" w:type="dxa"/>
            <w:shd w:val="clear" w:color="auto" w:fill="8496B0" w:themeFill="text2" w:themeFillTint="99"/>
          </w:tcPr>
          <w:p w14:paraId="7E70F383"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8496B0" w:themeFill="text2" w:themeFillTint="99"/>
          </w:tcPr>
          <w:p w14:paraId="7E70F384"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0.320</w:t>
            </w:r>
          </w:p>
        </w:tc>
        <w:tc>
          <w:tcPr>
            <w:tcW w:w="4334" w:type="dxa"/>
            <w:shd w:val="clear" w:color="auto" w:fill="8496B0" w:themeFill="text2" w:themeFillTint="99"/>
          </w:tcPr>
          <w:p w14:paraId="7E70F385"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0.392</w:t>
            </w:r>
          </w:p>
        </w:tc>
      </w:tr>
      <w:tr w:rsidR="00216186" w:rsidRPr="00FC7FF8" w14:paraId="7E70F38A" w14:textId="77777777" w:rsidTr="00EE021D">
        <w:tc>
          <w:tcPr>
            <w:tcW w:w="1384" w:type="dxa"/>
            <w:shd w:val="clear" w:color="auto" w:fill="D5DCE4" w:themeFill="text2" w:themeFillTint="33"/>
          </w:tcPr>
          <w:p w14:paraId="7E70F387"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D5DCE4" w:themeFill="text2" w:themeFillTint="33"/>
          </w:tcPr>
          <w:p w14:paraId="7E70F388"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89"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0.482</w:t>
            </w:r>
          </w:p>
        </w:tc>
      </w:tr>
      <w:tr w:rsidR="00216186" w:rsidRPr="00FC7FF8" w14:paraId="7E70F38E" w14:textId="77777777" w:rsidTr="00EE021D">
        <w:tc>
          <w:tcPr>
            <w:tcW w:w="1384" w:type="dxa"/>
            <w:shd w:val="clear" w:color="auto" w:fill="D5DCE4" w:themeFill="text2" w:themeFillTint="33"/>
          </w:tcPr>
          <w:p w14:paraId="7E70F38B"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rPr>
            </w:pPr>
          </w:p>
        </w:tc>
        <w:tc>
          <w:tcPr>
            <w:tcW w:w="3260" w:type="dxa"/>
            <w:shd w:val="clear" w:color="auto" w:fill="D5DCE4" w:themeFill="text2" w:themeFillTint="33"/>
          </w:tcPr>
          <w:p w14:paraId="7E70F38C"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8D"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0.487</w:t>
            </w:r>
          </w:p>
        </w:tc>
      </w:tr>
      <w:tr w:rsidR="00216186" w:rsidRPr="00FC7FF8" w14:paraId="7E70F392" w14:textId="77777777" w:rsidTr="00EE021D">
        <w:tc>
          <w:tcPr>
            <w:tcW w:w="1384" w:type="dxa"/>
            <w:shd w:val="clear" w:color="auto" w:fill="D5DCE4" w:themeFill="text2" w:themeFillTint="33"/>
          </w:tcPr>
          <w:p w14:paraId="7E70F38F"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90"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91"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0.563</w:t>
            </w:r>
          </w:p>
        </w:tc>
      </w:tr>
      <w:tr w:rsidR="00216186" w:rsidRPr="00FC7FF8" w14:paraId="7E70F396" w14:textId="77777777" w:rsidTr="00EE021D">
        <w:tc>
          <w:tcPr>
            <w:tcW w:w="1384" w:type="dxa"/>
            <w:shd w:val="clear" w:color="auto" w:fill="D5DCE4" w:themeFill="text2" w:themeFillTint="33"/>
          </w:tcPr>
          <w:p w14:paraId="7E70F393"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94"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95"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0.847</w:t>
            </w:r>
          </w:p>
        </w:tc>
      </w:tr>
      <w:tr w:rsidR="00216186" w:rsidRPr="00FC7FF8" w14:paraId="7E70F39A" w14:textId="77777777" w:rsidTr="00EE021D">
        <w:tc>
          <w:tcPr>
            <w:tcW w:w="1384" w:type="dxa"/>
            <w:shd w:val="clear" w:color="auto" w:fill="D5DCE4" w:themeFill="text2" w:themeFillTint="33"/>
          </w:tcPr>
          <w:p w14:paraId="7E70F397"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98"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99"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0.800</w:t>
            </w:r>
          </w:p>
        </w:tc>
      </w:tr>
      <w:tr w:rsidR="00216186" w:rsidRPr="00FC7FF8" w14:paraId="7E70F39E" w14:textId="77777777" w:rsidTr="00EE021D">
        <w:tc>
          <w:tcPr>
            <w:tcW w:w="1384" w:type="dxa"/>
            <w:shd w:val="clear" w:color="auto" w:fill="D5DCE4" w:themeFill="text2" w:themeFillTint="33"/>
          </w:tcPr>
          <w:p w14:paraId="7E70F39B"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9C"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9D"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0.932</w:t>
            </w:r>
          </w:p>
        </w:tc>
      </w:tr>
      <w:tr w:rsidR="00216186" w:rsidRPr="00FC7FF8" w14:paraId="7E70F3A2" w14:textId="77777777" w:rsidTr="00EE021D">
        <w:tc>
          <w:tcPr>
            <w:tcW w:w="1384" w:type="dxa"/>
            <w:shd w:val="clear" w:color="auto" w:fill="D5DCE4" w:themeFill="text2" w:themeFillTint="33"/>
          </w:tcPr>
          <w:p w14:paraId="7E70F39F"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A0"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A1"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0.872</w:t>
            </w:r>
          </w:p>
        </w:tc>
      </w:tr>
      <w:tr w:rsidR="00216186" w:rsidRPr="00FC7FF8" w14:paraId="7E70F3A6" w14:textId="77777777" w:rsidTr="00EE021D">
        <w:tc>
          <w:tcPr>
            <w:tcW w:w="1384" w:type="dxa"/>
            <w:shd w:val="clear" w:color="auto" w:fill="D5DCE4" w:themeFill="text2" w:themeFillTint="33"/>
          </w:tcPr>
          <w:p w14:paraId="7E70F3A3"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A4"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A5"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0.635</w:t>
            </w:r>
          </w:p>
        </w:tc>
      </w:tr>
      <w:tr w:rsidR="00216186" w:rsidRPr="00FC7FF8" w14:paraId="7E70F3AA" w14:textId="77777777" w:rsidTr="00EE021D">
        <w:tc>
          <w:tcPr>
            <w:tcW w:w="1384" w:type="dxa"/>
            <w:shd w:val="clear" w:color="auto" w:fill="D5DCE4" w:themeFill="text2" w:themeFillTint="33"/>
          </w:tcPr>
          <w:p w14:paraId="7E70F3A7"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A8"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A9"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0.615</w:t>
            </w:r>
          </w:p>
        </w:tc>
      </w:tr>
      <w:tr w:rsidR="00216186" w:rsidRPr="00FC7FF8" w14:paraId="7E70F3AE" w14:textId="77777777" w:rsidTr="00EE021D">
        <w:tc>
          <w:tcPr>
            <w:tcW w:w="1384" w:type="dxa"/>
            <w:shd w:val="clear" w:color="auto" w:fill="D5DCE4" w:themeFill="text2" w:themeFillTint="33"/>
          </w:tcPr>
          <w:p w14:paraId="7E70F3AB" w14:textId="77777777" w:rsidR="00216186" w:rsidRPr="00EE021D" w:rsidRDefault="00216186" w:rsidP="00DD794A">
            <w:pPr>
              <w:pStyle w:val="Prrafodelista"/>
              <w:numPr>
                <w:ilvl w:val="0"/>
                <w:numId w:val="1"/>
              </w:numPr>
              <w:spacing w:after="0" w:line="240" w:lineRule="auto"/>
              <w:jc w:val="center"/>
              <w:rPr>
                <w:rFonts w:ascii="Times New Roman" w:hAnsi="Times New Roman"/>
                <w:sz w:val="20"/>
                <w:szCs w:val="20"/>
                <w:lang w:val="en-US"/>
              </w:rPr>
            </w:pPr>
          </w:p>
        </w:tc>
        <w:tc>
          <w:tcPr>
            <w:tcW w:w="3260" w:type="dxa"/>
            <w:shd w:val="clear" w:color="auto" w:fill="D5DCE4" w:themeFill="text2" w:themeFillTint="33"/>
          </w:tcPr>
          <w:p w14:paraId="7E70F3AC" w14:textId="77777777" w:rsidR="00216186" w:rsidRPr="00EE021D" w:rsidRDefault="00216186" w:rsidP="00DD794A">
            <w:pPr>
              <w:jc w:val="center"/>
              <w:rPr>
                <w:rFonts w:ascii="Times New Roman" w:hAnsi="Times New Roman" w:cs="Times New Roman"/>
                <w:sz w:val="20"/>
                <w:szCs w:val="20"/>
              </w:rPr>
            </w:pPr>
          </w:p>
        </w:tc>
        <w:tc>
          <w:tcPr>
            <w:tcW w:w="4334" w:type="dxa"/>
            <w:shd w:val="clear" w:color="auto" w:fill="D5DCE4" w:themeFill="text2" w:themeFillTint="33"/>
          </w:tcPr>
          <w:p w14:paraId="7E70F3AD" w14:textId="77777777" w:rsidR="00216186" w:rsidRPr="00EE021D" w:rsidRDefault="00216186" w:rsidP="00DD794A">
            <w:pPr>
              <w:jc w:val="center"/>
              <w:rPr>
                <w:rFonts w:ascii="Times New Roman" w:hAnsi="Times New Roman" w:cs="Times New Roman"/>
                <w:sz w:val="20"/>
                <w:szCs w:val="20"/>
              </w:rPr>
            </w:pPr>
            <w:r w:rsidRPr="00EE021D">
              <w:rPr>
                <w:rFonts w:ascii="Times New Roman" w:hAnsi="Times New Roman" w:cs="Times New Roman"/>
                <w:sz w:val="20"/>
                <w:szCs w:val="20"/>
              </w:rPr>
              <w:t>0.609</w:t>
            </w:r>
          </w:p>
        </w:tc>
      </w:tr>
    </w:tbl>
    <w:p w14:paraId="7E70F3AF" w14:textId="77777777" w:rsidR="00216186" w:rsidRPr="00EE021D" w:rsidRDefault="00216186" w:rsidP="00DD794A">
      <w:pPr>
        <w:tabs>
          <w:tab w:val="left" w:pos="1980"/>
        </w:tabs>
        <w:spacing w:after="120" w:line="240" w:lineRule="auto"/>
        <w:jc w:val="both"/>
        <w:rPr>
          <w:rFonts w:ascii="Times New Roman" w:hAnsi="Times New Roman" w:cs="Times New Roman"/>
          <w:sz w:val="18"/>
          <w:szCs w:val="18"/>
        </w:rPr>
      </w:pPr>
      <w:r w:rsidRPr="00EE021D">
        <w:rPr>
          <w:rFonts w:ascii="Times New Roman" w:hAnsi="Times New Roman" w:cs="Times New Roman"/>
          <w:i/>
          <w:sz w:val="18"/>
          <w:szCs w:val="18"/>
        </w:rPr>
        <w:t>Nota:</w:t>
      </w:r>
      <w:r w:rsidRPr="00EE021D">
        <w:rPr>
          <w:rFonts w:ascii="Times New Roman" w:hAnsi="Times New Roman" w:cs="Times New Roman"/>
          <w:sz w:val="18"/>
          <w:szCs w:val="18"/>
        </w:rPr>
        <w:t xml:space="preserve"> elaboración propia; *valores inferiores a 0.30 han sido omitidos; **rotación oblicua PROMIN.</w:t>
      </w:r>
    </w:p>
    <w:p w14:paraId="7E70F3B0" w14:textId="77777777" w:rsidR="00216186" w:rsidRPr="00AB0274" w:rsidRDefault="00216186" w:rsidP="00DD794A">
      <w:pPr>
        <w:spacing w:before="120" w:after="120" w:line="240" w:lineRule="auto"/>
        <w:ind w:firstLine="709"/>
        <w:jc w:val="both"/>
        <w:rPr>
          <w:rFonts w:ascii="Times New Roman" w:hAnsi="Times New Roman" w:cs="Times New Roman"/>
          <w:sz w:val="24"/>
          <w:szCs w:val="24"/>
        </w:rPr>
      </w:pPr>
      <w:r w:rsidRPr="00AB0274">
        <w:rPr>
          <w:rFonts w:ascii="Times New Roman" w:hAnsi="Times New Roman" w:cs="Times New Roman"/>
          <w:sz w:val="24"/>
          <w:szCs w:val="24"/>
        </w:rPr>
        <w:t xml:space="preserve">El siguiente paso fue cambiar el método de rotación a PROMAX, sin embargo, las cargas cruzadas continuaron presentándose en los mismos tres factores que con el método PROMIN. Al excluir las tres variables del cálculo y volver a rotar se presentó carga cruzada de dos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que no había resultados en los cálculos anteriores: los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número 29 y 30. </w:t>
      </w:r>
    </w:p>
    <w:p w14:paraId="7E70F3B1" w14:textId="77777777" w:rsidR="00216186" w:rsidRPr="00AB0274" w:rsidRDefault="00216186" w:rsidP="00DD794A">
      <w:pPr>
        <w:spacing w:before="120" w:after="120" w:line="240" w:lineRule="auto"/>
        <w:ind w:firstLine="709"/>
        <w:jc w:val="both"/>
        <w:rPr>
          <w:rFonts w:ascii="Times New Roman" w:hAnsi="Times New Roman" w:cs="Times New Roman"/>
          <w:sz w:val="24"/>
          <w:szCs w:val="24"/>
        </w:rPr>
      </w:pPr>
      <w:r w:rsidRPr="00AB0274">
        <w:rPr>
          <w:rFonts w:ascii="Times New Roman" w:hAnsi="Times New Roman" w:cs="Times New Roman"/>
          <w:sz w:val="24"/>
          <w:szCs w:val="24"/>
        </w:rPr>
        <w:t xml:space="preserve">En vista de que emergían cinco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con cargas cruzadas (ver tabla 7) en diferentes combinaciones de métodos de rotación, se intentaron varias combinaciones de exclusión de ítems hasta que se logró eliminar las cargas factoriales cruzadas con la exclusión de solo cuatro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(16, 18, 29 y 30).</w:t>
      </w:r>
    </w:p>
    <w:p w14:paraId="7E70F3B2" w14:textId="77777777" w:rsidR="00216186" w:rsidRPr="006C4679" w:rsidRDefault="00216186" w:rsidP="00DD794A">
      <w:pPr>
        <w:spacing w:before="120" w:after="0" w:line="240" w:lineRule="auto"/>
        <w:jc w:val="both"/>
        <w:rPr>
          <w:rFonts w:ascii="Times New Roman" w:hAnsi="Times New Roman" w:cs="Times New Roman"/>
          <w:b/>
          <w:sz w:val="24"/>
          <w:szCs w:val="24"/>
        </w:rPr>
      </w:pPr>
      <w:r w:rsidRPr="006C4679">
        <w:rPr>
          <w:rFonts w:ascii="Times New Roman" w:hAnsi="Times New Roman" w:cs="Times New Roman"/>
          <w:b/>
          <w:sz w:val="24"/>
          <w:szCs w:val="24"/>
        </w:rPr>
        <w:t>Tabla 7</w:t>
      </w:r>
    </w:p>
    <w:p w14:paraId="7E70F3B3" w14:textId="77777777" w:rsidR="00216186" w:rsidRPr="006C4679" w:rsidRDefault="00216186" w:rsidP="00DD794A">
      <w:pPr>
        <w:spacing w:after="120" w:line="240" w:lineRule="auto"/>
        <w:jc w:val="both"/>
        <w:rPr>
          <w:rFonts w:ascii="Times New Roman" w:hAnsi="Times New Roman" w:cs="Times New Roman"/>
          <w:i/>
          <w:sz w:val="24"/>
          <w:szCs w:val="24"/>
        </w:rPr>
      </w:pPr>
      <w:r w:rsidRPr="006C4679">
        <w:rPr>
          <w:rFonts w:ascii="Times New Roman" w:hAnsi="Times New Roman" w:cs="Times New Roman"/>
          <w:i/>
          <w:sz w:val="24"/>
          <w:szCs w:val="24"/>
        </w:rPr>
        <w:t>Ítems que presentan carga cruzada con diferentes métodos de rotación</w:t>
      </w:r>
    </w:p>
    <w:tbl>
      <w:tblPr>
        <w:tblStyle w:val="Tablaconcuadrcula"/>
        <w:tblW w:w="0" w:type="auto"/>
        <w:tblBorders>
          <w:left w:val="none" w:sz="0" w:space="0" w:color="auto"/>
          <w:right w:val="none" w:sz="0" w:space="0" w:color="auto"/>
          <w:insideH w:val="single" w:sz="4" w:space="0" w:color="FFFFFF" w:themeColor="background1"/>
          <w:insideV w:val="none" w:sz="0" w:space="0" w:color="auto"/>
        </w:tblBorders>
        <w:shd w:val="clear" w:color="auto" w:fill="D5DCE4" w:themeFill="text2" w:themeFillTint="33"/>
        <w:tblLook w:val="04A0" w:firstRow="1" w:lastRow="0" w:firstColumn="1" w:lastColumn="0" w:noHBand="0" w:noVBand="1"/>
      </w:tblPr>
      <w:tblGrid>
        <w:gridCol w:w="817"/>
        <w:gridCol w:w="8161"/>
      </w:tblGrid>
      <w:tr w:rsidR="00216186" w:rsidRPr="00E67C4F" w14:paraId="7E70F3B6" w14:textId="77777777" w:rsidTr="00D46937">
        <w:tc>
          <w:tcPr>
            <w:tcW w:w="817" w:type="dxa"/>
            <w:shd w:val="clear" w:color="auto" w:fill="D5DCE4" w:themeFill="text2" w:themeFillTint="33"/>
          </w:tcPr>
          <w:p w14:paraId="7E70F3B4" w14:textId="77777777" w:rsidR="00216186" w:rsidRPr="00E67C4F" w:rsidRDefault="00216186" w:rsidP="00DD794A">
            <w:pPr>
              <w:jc w:val="both"/>
              <w:rPr>
                <w:rFonts w:ascii="Times New Roman" w:hAnsi="Times New Roman" w:cs="Times New Roman"/>
                <w:sz w:val="20"/>
                <w:szCs w:val="20"/>
              </w:rPr>
            </w:pPr>
            <w:r w:rsidRPr="00E67C4F">
              <w:rPr>
                <w:rFonts w:ascii="Times New Roman" w:hAnsi="Times New Roman" w:cs="Times New Roman"/>
                <w:sz w:val="20"/>
                <w:szCs w:val="20"/>
              </w:rPr>
              <w:t>No.</w:t>
            </w:r>
          </w:p>
        </w:tc>
        <w:tc>
          <w:tcPr>
            <w:tcW w:w="8161" w:type="dxa"/>
            <w:shd w:val="clear" w:color="auto" w:fill="D5DCE4" w:themeFill="text2" w:themeFillTint="33"/>
          </w:tcPr>
          <w:p w14:paraId="7E70F3B5" w14:textId="77777777" w:rsidR="00216186" w:rsidRPr="00E67C4F" w:rsidRDefault="00216186" w:rsidP="00DD794A">
            <w:pPr>
              <w:jc w:val="center"/>
              <w:rPr>
                <w:rFonts w:ascii="Times New Roman" w:hAnsi="Times New Roman" w:cs="Times New Roman"/>
                <w:sz w:val="20"/>
                <w:szCs w:val="20"/>
              </w:rPr>
            </w:pPr>
            <w:r w:rsidRPr="00E67C4F">
              <w:rPr>
                <w:rFonts w:ascii="Times New Roman" w:hAnsi="Times New Roman" w:cs="Times New Roman"/>
                <w:sz w:val="20"/>
                <w:szCs w:val="20"/>
              </w:rPr>
              <w:t>Ítem</w:t>
            </w:r>
          </w:p>
        </w:tc>
      </w:tr>
      <w:tr w:rsidR="00216186" w:rsidRPr="00E67C4F" w14:paraId="7E70F3B9" w14:textId="77777777" w:rsidTr="00D46937">
        <w:tc>
          <w:tcPr>
            <w:tcW w:w="817" w:type="dxa"/>
            <w:shd w:val="clear" w:color="auto" w:fill="D5DCE4" w:themeFill="text2" w:themeFillTint="33"/>
          </w:tcPr>
          <w:p w14:paraId="7E70F3B7" w14:textId="77777777" w:rsidR="00216186" w:rsidRPr="00E67C4F" w:rsidRDefault="00216186" w:rsidP="00DD794A">
            <w:pPr>
              <w:jc w:val="both"/>
              <w:rPr>
                <w:rFonts w:ascii="Times New Roman" w:hAnsi="Times New Roman" w:cs="Times New Roman"/>
                <w:sz w:val="20"/>
                <w:szCs w:val="20"/>
              </w:rPr>
            </w:pPr>
            <w:r w:rsidRPr="00E67C4F">
              <w:rPr>
                <w:rFonts w:ascii="Times New Roman" w:hAnsi="Times New Roman" w:cs="Times New Roman"/>
                <w:sz w:val="20"/>
                <w:szCs w:val="20"/>
              </w:rPr>
              <w:t>16</w:t>
            </w:r>
          </w:p>
        </w:tc>
        <w:tc>
          <w:tcPr>
            <w:tcW w:w="8161" w:type="dxa"/>
            <w:shd w:val="clear" w:color="auto" w:fill="D5DCE4" w:themeFill="text2" w:themeFillTint="33"/>
          </w:tcPr>
          <w:p w14:paraId="7E70F3B8" w14:textId="77777777" w:rsidR="00216186" w:rsidRPr="00E67C4F" w:rsidRDefault="00216186" w:rsidP="00DD794A">
            <w:pPr>
              <w:jc w:val="both"/>
              <w:rPr>
                <w:rFonts w:ascii="Times New Roman" w:hAnsi="Times New Roman" w:cs="Times New Roman"/>
                <w:sz w:val="20"/>
                <w:szCs w:val="20"/>
              </w:rPr>
            </w:pPr>
            <w:r w:rsidRPr="00E67C4F">
              <w:rPr>
                <w:rFonts w:ascii="Times New Roman" w:eastAsia="Times New Roman" w:hAnsi="Times New Roman" w:cs="Times New Roman"/>
                <w:color w:val="000000"/>
                <w:sz w:val="20"/>
                <w:szCs w:val="20"/>
              </w:rPr>
              <w:t>Selecciona diversas estrategias didácticas acordes al nivel de desempeño del alumno para que realice eficazmente la intervención (como el modelamiento, discusión de videos, etc.).</w:t>
            </w:r>
          </w:p>
        </w:tc>
      </w:tr>
      <w:tr w:rsidR="00216186" w:rsidRPr="00E67C4F" w14:paraId="7E70F3BC" w14:textId="77777777" w:rsidTr="00D46937">
        <w:tc>
          <w:tcPr>
            <w:tcW w:w="817" w:type="dxa"/>
            <w:shd w:val="clear" w:color="auto" w:fill="D5DCE4" w:themeFill="text2" w:themeFillTint="33"/>
          </w:tcPr>
          <w:p w14:paraId="7E70F3BA" w14:textId="77777777" w:rsidR="00216186" w:rsidRPr="00E67C4F" w:rsidRDefault="00216186" w:rsidP="00DD794A">
            <w:pPr>
              <w:jc w:val="both"/>
              <w:rPr>
                <w:rFonts w:ascii="Times New Roman" w:hAnsi="Times New Roman" w:cs="Times New Roman"/>
                <w:sz w:val="20"/>
                <w:szCs w:val="20"/>
              </w:rPr>
            </w:pPr>
            <w:r w:rsidRPr="00E67C4F">
              <w:rPr>
                <w:rFonts w:ascii="Times New Roman" w:hAnsi="Times New Roman" w:cs="Times New Roman"/>
                <w:sz w:val="20"/>
                <w:szCs w:val="20"/>
              </w:rPr>
              <w:t>18</w:t>
            </w:r>
          </w:p>
        </w:tc>
        <w:tc>
          <w:tcPr>
            <w:tcW w:w="8161" w:type="dxa"/>
            <w:shd w:val="clear" w:color="auto" w:fill="D5DCE4" w:themeFill="text2" w:themeFillTint="33"/>
          </w:tcPr>
          <w:p w14:paraId="7E70F3BB" w14:textId="77777777" w:rsidR="00216186" w:rsidRPr="00E67C4F" w:rsidRDefault="00216186" w:rsidP="00DD794A">
            <w:pPr>
              <w:jc w:val="both"/>
              <w:rPr>
                <w:rFonts w:ascii="Times New Roman" w:hAnsi="Times New Roman" w:cs="Times New Roman"/>
                <w:sz w:val="20"/>
                <w:szCs w:val="20"/>
              </w:rPr>
            </w:pPr>
            <w:r w:rsidRPr="00E67C4F">
              <w:rPr>
                <w:rFonts w:ascii="Times New Roman" w:eastAsia="Times New Roman" w:hAnsi="Times New Roman" w:cs="Times New Roman"/>
                <w:color w:val="000000"/>
                <w:sz w:val="20"/>
                <w:szCs w:val="20"/>
              </w:rPr>
              <w:t>Observa y retroalimenta a los alumnos en la ejecución de algún procedimiento.</w:t>
            </w:r>
          </w:p>
        </w:tc>
      </w:tr>
      <w:tr w:rsidR="00216186" w:rsidRPr="00E67C4F" w14:paraId="7E70F3BF" w14:textId="77777777" w:rsidTr="00D46937">
        <w:tc>
          <w:tcPr>
            <w:tcW w:w="817" w:type="dxa"/>
            <w:shd w:val="clear" w:color="auto" w:fill="D5DCE4" w:themeFill="text2" w:themeFillTint="33"/>
          </w:tcPr>
          <w:p w14:paraId="7E70F3BD" w14:textId="77777777" w:rsidR="00216186" w:rsidRPr="00E67C4F" w:rsidRDefault="00216186" w:rsidP="00DD794A">
            <w:pPr>
              <w:jc w:val="both"/>
              <w:rPr>
                <w:rFonts w:ascii="Times New Roman" w:hAnsi="Times New Roman" w:cs="Times New Roman"/>
                <w:sz w:val="20"/>
                <w:szCs w:val="20"/>
              </w:rPr>
            </w:pPr>
            <w:r w:rsidRPr="00E67C4F">
              <w:rPr>
                <w:rFonts w:ascii="Times New Roman" w:hAnsi="Times New Roman" w:cs="Times New Roman"/>
                <w:sz w:val="20"/>
                <w:szCs w:val="20"/>
              </w:rPr>
              <w:t>28</w:t>
            </w:r>
          </w:p>
        </w:tc>
        <w:tc>
          <w:tcPr>
            <w:tcW w:w="8161" w:type="dxa"/>
            <w:shd w:val="clear" w:color="auto" w:fill="D5DCE4" w:themeFill="text2" w:themeFillTint="33"/>
          </w:tcPr>
          <w:p w14:paraId="7E70F3BE" w14:textId="77777777" w:rsidR="00216186" w:rsidRPr="00E67C4F" w:rsidRDefault="00216186" w:rsidP="00DD794A">
            <w:pPr>
              <w:jc w:val="both"/>
              <w:rPr>
                <w:rFonts w:ascii="Times New Roman" w:hAnsi="Times New Roman" w:cs="Times New Roman"/>
                <w:sz w:val="20"/>
                <w:szCs w:val="20"/>
              </w:rPr>
            </w:pPr>
            <w:r w:rsidRPr="00E67C4F">
              <w:rPr>
                <w:rFonts w:ascii="Times New Roman" w:eastAsia="Times New Roman" w:hAnsi="Times New Roman" w:cs="Times New Roman"/>
                <w:color w:val="000000"/>
                <w:sz w:val="20"/>
                <w:szCs w:val="20"/>
              </w:rPr>
              <w:t>Respeta los diferentes puntos de vista de los estudiantes.</w:t>
            </w:r>
          </w:p>
        </w:tc>
      </w:tr>
      <w:tr w:rsidR="00216186" w:rsidRPr="00E67C4F" w14:paraId="7E70F3C2" w14:textId="77777777" w:rsidTr="00D46937">
        <w:tc>
          <w:tcPr>
            <w:tcW w:w="817" w:type="dxa"/>
            <w:shd w:val="clear" w:color="auto" w:fill="D5DCE4" w:themeFill="text2" w:themeFillTint="33"/>
          </w:tcPr>
          <w:p w14:paraId="7E70F3C0" w14:textId="77777777" w:rsidR="00216186" w:rsidRPr="00E67C4F" w:rsidRDefault="00216186" w:rsidP="00DD794A">
            <w:pPr>
              <w:jc w:val="both"/>
              <w:rPr>
                <w:rFonts w:ascii="Times New Roman" w:hAnsi="Times New Roman" w:cs="Times New Roman"/>
                <w:sz w:val="20"/>
                <w:szCs w:val="20"/>
              </w:rPr>
            </w:pPr>
            <w:r w:rsidRPr="00E67C4F">
              <w:rPr>
                <w:rFonts w:ascii="Times New Roman" w:hAnsi="Times New Roman" w:cs="Times New Roman"/>
                <w:sz w:val="20"/>
                <w:szCs w:val="20"/>
              </w:rPr>
              <w:t>29</w:t>
            </w:r>
          </w:p>
        </w:tc>
        <w:tc>
          <w:tcPr>
            <w:tcW w:w="8161" w:type="dxa"/>
            <w:shd w:val="clear" w:color="auto" w:fill="D5DCE4" w:themeFill="text2" w:themeFillTint="33"/>
          </w:tcPr>
          <w:p w14:paraId="7E70F3C1" w14:textId="77777777" w:rsidR="00216186" w:rsidRPr="00E67C4F" w:rsidRDefault="00216186" w:rsidP="00DD794A">
            <w:pPr>
              <w:jc w:val="both"/>
              <w:rPr>
                <w:rFonts w:ascii="Times New Roman" w:eastAsia="Times New Roman" w:hAnsi="Times New Roman" w:cs="Times New Roman"/>
                <w:color w:val="000000"/>
                <w:sz w:val="20"/>
                <w:szCs w:val="20"/>
              </w:rPr>
            </w:pPr>
            <w:r w:rsidRPr="00E67C4F">
              <w:rPr>
                <w:rFonts w:ascii="Times New Roman" w:eastAsia="Times New Roman" w:hAnsi="Times New Roman" w:cs="Times New Roman"/>
                <w:color w:val="000000"/>
                <w:sz w:val="20"/>
                <w:szCs w:val="20"/>
              </w:rPr>
              <w:t>Promueve que los estudiantes expresen sus diferentes puntos de vista.</w:t>
            </w:r>
          </w:p>
        </w:tc>
      </w:tr>
      <w:tr w:rsidR="00216186" w:rsidRPr="00E67C4F" w14:paraId="7E70F3C5" w14:textId="77777777" w:rsidTr="00D46937">
        <w:tc>
          <w:tcPr>
            <w:tcW w:w="817" w:type="dxa"/>
            <w:shd w:val="clear" w:color="auto" w:fill="D5DCE4" w:themeFill="text2" w:themeFillTint="33"/>
          </w:tcPr>
          <w:p w14:paraId="7E70F3C3" w14:textId="77777777" w:rsidR="00216186" w:rsidRPr="00E67C4F" w:rsidRDefault="00216186" w:rsidP="00DD794A">
            <w:pPr>
              <w:jc w:val="both"/>
              <w:rPr>
                <w:rFonts w:ascii="Times New Roman" w:hAnsi="Times New Roman" w:cs="Times New Roman"/>
                <w:sz w:val="20"/>
                <w:szCs w:val="20"/>
              </w:rPr>
            </w:pPr>
            <w:r w:rsidRPr="00E67C4F">
              <w:rPr>
                <w:rFonts w:ascii="Times New Roman" w:hAnsi="Times New Roman" w:cs="Times New Roman"/>
                <w:sz w:val="20"/>
                <w:szCs w:val="20"/>
              </w:rPr>
              <w:t>30</w:t>
            </w:r>
          </w:p>
        </w:tc>
        <w:tc>
          <w:tcPr>
            <w:tcW w:w="8161" w:type="dxa"/>
            <w:shd w:val="clear" w:color="auto" w:fill="D5DCE4" w:themeFill="text2" w:themeFillTint="33"/>
          </w:tcPr>
          <w:p w14:paraId="7E70F3C4" w14:textId="77777777" w:rsidR="00216186" w:rsidRPr="00E67C4F" w:rsidRDefault="00216186" w:rsidP="00DD794A">
            <w:pPr>
              <w:jc w:val="both"/>
              <w:rPr>
                <w:rFonts w:ascii="Times New Roman" w:eastAsia="Times New Roman" w:hAnsi="Times New Roman" w:cs="Times New Roman"/>
                <w:color w:val="000000"/>
                <w:sz w:val="20"/>
                <w:szCs w:val="20"/>
              </w:rPr>
            </w:pPr>
            <w:r w:rsidRPr="00E67C4F">
              <w:rPr>
                <w:rFonts w:ascii="Times New Roman" w:eastAsia="Times New Roman" w:hAnsi="Times New Roman" w:cs="Times New Roman"/>
                <w:color w:val="000000"/>
                <w:sz w:val="20"/>
                <w:szCs w:val="20"/>
              </w:rPr>
              <w:t>Genera confianza en los estudiantes para que manifiesten los sentimientos y estados de ánimo que afectan su desempeño.</w:t>
            </w:r>
          </w:p>
        </w:tc>
      </w:tr>
    </w:tbl>
    <w:p w14:paraId="7E70F3C6" w14:textId="77777777" w:rsidR="00216186" w:rsidRPr="00E67C4F" w:rsidRDefault="00216186" w:rsidP="00DD794A">
      <w:pPr>
        <w:spacing w:after="120" w:line="240" w:lineRule="auto"/>
        <w:jc w:val="both"/>
        <w:rPr>
          <w:rFonts w:ascii="Times New Roman" w:hAnsi="Times New Roman" w:cs="Times New Roman"/>
          <w:sz w:val="18"/>
          <w:szCs w:val="18"/>
        </w:rPr>
      </w:pPr>
      <w:r w:rsidRPr="00E67C4F">
        <w:rPr>
          <w:rFonts w:ascii="Times New Roman" w:hAnsi="Times New Roman" w:cs="Times New Roman"/>
          <w:i/>
          <w:sz w:val="18"/>
          <w:szCs w:val="18"/>
        </w:rPr>
        <w:t>Nota</w:t>
      </w:r>
      <w:r w:rsidRPr="00E67C4F">
        <w:rPr>
          <w:rFonts w:ascii="Times New Roman" w:hAnsi="Times New Roman" w:cs="Times New Roman"/>
          <w:sz w:val="18"/>
          <w:szCs w:val="18"/>
        </w:rPr>
        <w:t>: elaboración propia</w:t>
      </w:r>
    </w:p>
    <w:p w14:paraId="7E70F3C7" w14:textId="697C8906" w:rsidR="00216186" w:rsidRPr="00AB0274" w:rsidRDefault="00216186" w:rsidP="00DD794A">
      <w:pPr>
        <w:spacing w:before="120" w:after="120" w:line="240" w:lineRule="auto"/>
        <w:ind w:firstLine="709"/>
        <w:jc w:val="both"/>
        <w:rPr>
          <w:rFonts w:ascii="Times New Roman" w:hAnsi="Times New Roman" w:cs="Times New Roman"/>
          <w:sz w:val="24"/>
          <w:szCs w:val="24"/>
        </w:rPr>
      </w:pPr>
      <w:r w:rsidRPr="00AB0274">
        <w:rPr>
          <w:rFonts w:ascii="Times New Roman" w:hAnsi="Times New Roman" w:cs="Times New Roman"/>
          <w:sz w:val="24"/>
          <w:szCs w:val="24"/>
        </w:rPr>
        <w:t xml:space="preserve">Una vez evidenciado empíricamente que era recomendable eliminar cuatro variables, se procedió a revisar el contenido de los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y resultaron las siguientes conclusiones: (i) el </w:t>
      </w:r>
      <w:r w:rsidR="00FD0847">
        <w:rPr>
          <w:rFonts w:ascii="Times New Roman" w:hAnsi="Times New Roman" w:cs="Times New Roman"/>
          <w:sz w:val="24"/>
          <w:szCs w:val="24"/>
        </w:rPr>
        <w:t>ítem</w:t>
      </w:r>
      <w:r w:rsidRPr="00AB0274">
        <w:rPr>
          <w:rFonts w:ascii="Times New Roman" w:hAnsi="Times New Roman" w:cs="Times New Roman"/>
          <w:sz w:val="24"/>
          <w:szCs w:val="24"/>
        </w:rPr>
        <w:t xml:space="preserve"> número 16 ya había sido objeto de comentarios de falta de claridad conceptual  por parte de los estudiantes en el estudio piloto, pero como sólo había sido un comentario se decidió mantener dicho ítem; (ii) el </w:t>
      </w:r>
      <w:r w:rsidR="00FD0847">
        <w:rPr>
          <w:rFonts w:ascii="Times New Roman" w:hAnsi="Times New Roman" w:cs="Times New Roman"/>
          <w:sz w:val="24"/>
          <w:szCs w:val="24"/>
        </w:rPr>
        <w:t>ítem</w:t>
      </w:r>
      <w:r w:rsidRPr="00AB0274">
        <w:rPr>
          <w:rFonts w:ascii="Times New Roman" w:hAnsi="Times New Roman" w:cs="Times New Roman"/>
          <w:sz w:val="24"/>
          <w:szCs w:val="24"/>
        </w:rPr>
        <w:t xml:space="preserve"> 18 ya había presentado comentarios sobre su redundancia (hay otro par de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que preguntan sobre la retroalimentación) en el estudio piloto; y (iii) durante el estudio piloto, los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29 y 30 habían recibido comentarios de redundancia con otro </w:t>
      </w:r>
      <w:r w:rsidR="00FD0847">
        <w:rPr>
          <w:rFonts w:ascii="Times New Roman" w:hAnsi="Times New Roman" w:cs="Times New Roman"/>
          <w:sz w:val="24"/>
          <w:szCs w:val="24"/>
        </w:rPr>
        <w:t>ítem</w:t>
      </w:r>
      <w:r w:rsidRPr="00AB0274">
        <w:rPr>
          <w:rFonts w:ascii="Times New Roman" w:hAnsi="Times New Roman" w:cs="Times New Roman"/>
          <w:sz w:val="24"/>
          <w:szCs w:val="24"/>
        </w:rPr>
        <w:t xml:space="preserve"> en el que también habla de la libre expresión de las ideas, asimismo, en la matriz de correlaciones sin rotar presentaron </w:t>
      </w:r>
      <w:proofErr w:type="spellStart"/>
      <w:r w:rsidRPr="00AB0274">
        <w:rPr>
          <w:rFonts w:ascii="Times New Roman" w:hAnsi="Times New Roman" w:cs="Times New Roman"/>
          <w:sz w:val="24"/>
          <w:szCs w:val="24"/>
        </w:rPr>
        <w:t>comunalidades</w:t>
      </w:r>
      <w:proofErr w:type="spellEnd"/>
      <w:r w:rsidRPr="00AB0274">
        <w:rPr>
          <w:rFonts w:ascii="Times New Roman" w:hAnsi="Times New Roman" w:cs="Times New Roman"/>
          <w:sz w:val="24"/>
          <w:szCs w:val="24"/>
        </w:rPr>
        <w:t xml:space="preserve"> con valores inferiores a 0.5.</w:t>
      </w:r>
    </w:p>
    <w:p w14:paraId="7E70F3C8" w14:textId="77777777" w:rsidR="00216186" w:rsidRPr="00AB0274" w:rsidRDefault="00216186" w:rsidP="00DD794A">
      <w:pPr>
        <w:pStyle w:val="Default"/>
        <w:spacing w:before="120" w:after="120"/>
        <w:ind w:firstLine="709"/>
        <w:jc w:val="both"/>
        <w:rPr>
          <w:rFonts w:ascii="Times New Roman" w:hAnsi="Times New Roman" w:cs="Times New Roman"/>
          <w:lang w:val="es-MX"/>
        </w:rPr>
      </w:pPr>
      <w:r w:rsidRPr="00AB0274">
        <w:rPr>
          <w:rFonts w:ascii="Times New Roman" w:hAnsi="Times New Roman" w:cs="Times New Roman"/>
          <w:lang w:val="es-MX"/>
        </w:rPr>
        <w:t>Por lo tanto, se decidió utilizar el model</w:t>
      </w:r>
      <w:r w:rsidR="00030628" w:rsidRPr="00AB0274">
        <w:rPr>
          <w:rFonts w:ascii="Times New Roman" w:hAnsi="Times New Roman" w:cs="Times New Roman"/>
          <w:lang w:val="es-MX"/>
        </w:rPr>
        <w:t>o de dos factores</w:t>
      </w:r>
      <w:r w:rsidRPr="00AB0274">
        <w:rPr>
          <w:rFonts w:ascii="Times New Roman" w:hAnsi="Times New Roman" w:cs="Times New Roman"/>
          <w:lang w:val="es-MX"/>
        </w:rPr>
        <w:t xml:space="preserve">, con la eliminación de los </w:t>
      </w:r>
      <w:r w:rsidR="002E4DF9">
        <w:rPr>
          <w:rFonts w:ascii="Times New Roman" w:hAnsi="Times New Roman" w:cs="Times New Roman"/>
          <w:lang w:val="es-MX"/>
        </w:rPr>
        <w:t>ítems</w:t>
      </w:r>
      <w:r w:rsidRPr="00AB0274">
        <w:rPr>
          <w:rFonts w:ascii="Times New Roman" w:hAnsi="Times New Roman" w:cs="Times New Roman"/>
          <w:lang w:val="es-MX"/>
        </w:rPr>
        <w:t xml:space="preserve"> 16, 18, 29 y 30, con lo que se obtuvo </w:t>
      </w:r>
      <w:r w:rsidR="00030628" w:rsidRPr="00AB0274">
        <w:rPr>
          <w:rFonts w:ascii="Times New Roman" w:hAnsi="Times New Roman" w:cs="Times New Roman"/>
          <w:lang w:val="es-MX"/>
        </w:rPr>
        <w:t>una estructura interna con índices aceptables como se muestra en la tabla 8.</w:t>
      </w:r>
    </w:p>
    <w:p w14:paraId="7E70F3C9" w14:textId="77777777" w:rsidR="00216186" w:rsidRPr="00AB0274" w:rsidRDefault="00030628" w:rsidP="00DD794A">
      <w:pPr>
        <w:pStyle w:val="Default"/>
        <w:spacing w:before="120"/>
        <w:jc w:val="both"/>
        <w:rPr>
          <w:rFonts w:ascii="Times New Roman" w:hAnsi="Times New Roman" w:cs="Times New Roman"/>
          <w:b/>
          <w:lang w:val="es-MX"/>
        </w:rPr>
      </w:pPr>
      <w:r w:rsidRPr="00AB0274">
        <w:rPr>
          <w:rFonts w:ascii="Times New Roman" w:hAnsi="Times New Roman" w:cs="Times New Roman"/>
          <w:b/>
          <w:lang w:val="es-MX"/>
        </w:rPr>
        <w:t>Tabla 8</w:t>
      </w:r>
    </w:p>
    <w:p w14:paraId="7E70F3CA" w14:textId="77777777" w:rsidR="00216186" w:rsidRPr="00AB0274" w:rsidRDefault="00216186" w:rsidP="00DD794A">
      <w:pPr>
        <w:pStyle w:val="Default"/>
        <w:spacing w:after="120"/>
        <w:jc w:val="both"/>
        <w:rPr>
          <w:rFonts w:ascii="Times New Roman" w:hAnsi="Times New Roman" w:cs="Times New Roman"/>
          <w:i/>
          <w:lang w:val="es-MX"/>
        </w:rPr>
      </w:pPr>
      <w:r w:rsidRPr="00AB0274">
        <w:rPr>
          <w:rFonts w:ascii="Times New Roman" w:hAnsi="Times New Roman" w:cs="Times New Roman"/>
          <w:i/>
          <w:lang w:val="es-MX"/>
        </w:rPr>
        <w:t>Resumen de los índices del modelo de dos factores.</w:t>
      </w:r>
    </w:p>
    <w:tbl>
      <w:tblPr>
        <w:tblStyle w:val="Tablaconcuadrcula"/>
        <w:tblW w:w="0" w:type="auto"/>
        <w:tblBorders>
          <w:left w:val="none" w:sz="0" w:space="0" w:color="auto"/>
          <w:right w:val="none" w:sz="0" w:space="0" w:color="auto"/>
          <w:insideH w:val="single" w:sz="4" w:space="0" w:color="FFFFFF" w:themeColor="background1"/>
          <w:insideV w:val="none" w:sz="0" w:space="0" w:color="auto"/>
        </w:tblBorders>
        <w:shd w:val="clear" w:color="auto" w:fill="D5DCE4" w:themeFill="text2" w:themeFillTint="33"/>
        <w:tblLook w:val="04A0" w:firstRow="1" w:lastRow="0" w:firstColumn="1" w:lastColumn="0" w:noHBand="0" w:noVBand="1"/>
      </w:tblPr>
      <w:tblGrid>
        <w:gridCol w:w="6629"/>
        <w:gridCol w:w="2349"/>
      </w:tblGrid>
      <w:tr w:rsidR="00216186" w:rsidRPr="00397F8A" w14:paraId="7E70F3CD" w14:textId="77777777" w:rsidTr="00D46937">
        <w:tc>
          <w:tcPr>
            <w:tcW w:w="6629" w:type="dxa"/>
            <w:shd w:val="clear" w:color="auto" w:fill="D5DCE4" w:themeFill="text2" w:themeFillTint="33"/>
          </w:tcPr>
          <w:p w14:paraId="7E70F3CB" w14:textId="77777777" w:rsidR="00216186" w:rsidRPr="00397F8A" w:rsidRDefault="00216186" w:rsidP="00DD794A">
            <w:pPr>
              <w:pStyle w:val="Default"/>
              <w:jc w:val="both"/>
              <w:rPr>
                <w:rFonts w:ascii="Times New Roman" w:hAnsi="Times New Roman" w:cs="Times New Roman"/>
                <w:sz w:val="20"/>
                <w:szCs w:val="20"/>
                <w:lang w:val="es-MX"/>
              </w:rPr>
            </w:pPr>
            <w:r w:rsidRPr="00397F8A">
              <w:rPr>
                <w:rFonts w:ascii="Times New Roman" w:hAnsi="Times New Roman" w:cs="Times New Roman"/>
                <w:sz w:val="20"/>
                <w:szCs w:val="20"/>
                <w:lang w:val="es-MX"/>
              </w:rPr>
              <w:t>Índices</w:t>
            </w:r>
          </w:p>
        </w:tc>
        <w:tc>
          <w:tcPr>
            <w:tcW w:w="2349" w:type="dxa"/>
            <w:shd w:val="clear" w:color="auto" w:fill="D5DCE4" w:themeFill="text2" w:themeFillTint="33"/>
          </w:tcPr>
          <w:p w14:paraId="7E70F3CC" w14:textId="77777777" w:rsidR="00216186" w:rsidRPr="00397F8A" w:rsidRDefault="00216186" w:rsidP="00DD794A">
            <w:pPr>
              <w:pStyle w:val="Default"/>
              <w:jc w:val="both"/>
              <w:rPr>
                <w:rFonts w:ascii="Times New Roman" w:hAnsi="Times New Roman" w:cs="Times New Roman"/>
                <w:sz w:val="20"/>
                <w:szCs w:val="20"/>
                <w:lang w:val="es-MX"/>
              </w:rPr>
            </w:pPr>
            <w:r w:rsidRPr="00397F8A">
              <w:rPr>
                <w:rFonts w:ascii="Times New Roman" w:hAnsi="Times New Roman" w:cs="Times New Roman"/>
                <w:sz w:val="20"/>
                <w:szCs w:val="20"/>
                <w:lang w:val="es-MX"/>
              </w:rPr>
              <w:t xml:space="preserve">Valor </w:t>
            </w:r>
          </w:p>
        </w:tc>
      </w:tr>
      <w:tr w:rsidR="00216186" w:rsidRPr="00397F8A" w14:paraId="7E70F3D0" w14:textId="77777777" w:rsidTr="00D46937">
        <w:tc>
          <w:tcPr>
            <w:tcW w:w="6629" w:type="dxa"/>
            <w:shd w:val="clear" w:color="auto" w:fill="D5DCE4" w:themeFill="text2" w:themeFillTint="33"/>
          </w:tcPr>
          <w:p w14:paraId="7E70F3CE" w14:textId="77777777" w:rsidR="00216186" w:rsidRPr="00397F8A" w:rsidRDefault="00216186" w:rsidP="00DD794A">
            <w:pPr>
              <w:pStyle w:val="Default"/>
              <w:jc w:val="both"/>
              <w:rPr>
                <w:rFonts w:ascii="Times New Roman" w:hAnsi="Times New Roman" w:cs="Times New Roman"/>
                <w:sz w:val="20"/>
                <w:szCs w:val="20"/>
                <w:lang w:val="es-MX"/>
              </w:rPr>
            </w:pPr>
            <w:r w:rsidRPr="00397F8A">
              <w:rPr>
                <w:rFonts w:ascii="Times New Roman" w:hAnsi="Times New Roman" w:cs="Times New Roman"/>
                <w:sz w:val="20"/>
                <w:szCs w:val="20"/>
                <w:lang w:val="es-MX"/>
              </w:rPr>
              <w:t>Índice de Bondad de Ajuste (GFI)</w:t>
            </w:r>
          </w:p>
        </w:tc>
        <w:tc>
          <w:tcPr>
            <w:tcW w:w="2349" w:type="dxa"/>
            <w:shd w:val="clear" w:color="auto" w:fill="D5DCE4" w:themeFill="text2" w:themeFillTint="33"/>
          </w:tcPr>
          <w:p w14:paraId="7E70F3CF" w14:textId="77777777" w:rsidR="00216186" w:rsidRPr="00397F8A" w:rsidRDefault="00216186" w:rsidP="00DD794A">
            <w:pPr>
              <w:pStyle w:val="Default"/>
              <w:jc w:val="both"/>
              <w:rPr>
                <w:rFonts w:ascii="Times New Roman" w:hAnsi="Times New Roman" w:cs="Times New Roman"/>
                <w:sz w:val="20"/>
                <w:szCs w:val="20"/>
              </w:rPr>
            </w:pPr>
            <w:r w:rsidRPr="00397F8A">
              <w:rPr>
                <w:rFonts w:ascii="Times New Roman" w:hAnsi="Times New Roman" w:cs="Times New Roman"/>
                <w:sz w:val="20"/>
                <w:szCs w:val="20"/>
                <w:lang w:val="es-MX"/>
              </w:rPr>
              <w:t>0.98</w:t>
            </w:r>
          </w:p>
        </w:tc>
      </w:tr>
      <w:tr w:rsidR="00216186" w:rsidRPr="00397F8A" w14:paraId="7E70F3D3" w14:textId="77777777" w:rsidTr="00D46937">
        <w:tc>
          <w:tcPr>
            <w:tcW w:w="6629" w:type="dxa"/>
            <w:shd w:val="clear" w:color="auto" w:fill="D5DCE4" w:themeFill="text2" w:themeFillTint="33"/>
          </w:tcPr>
          <w:p w14:paraId="7E70F3D1" w14:textId="77777777" w:rsidR="00216186" w:rsidRPr="00397F8A" w:rsidRDefault="00216186" w:rsidP="00DD794A">
            <w:pPr>
              <w:pStyle w:val="Default"/>
              <w:jc w:val="both"/>
              <w:rPr>
                <w:rFonts w:ascii="Times New Roman" w:hAnsi="Times New Roman" w:cs="Times New Roman"/>
                <w:sz w:val="20"/>
                <w:szCs w:val="20"/>
                <w:lang w:val="es-MX"/>
              </w:rPr>
            </w:pPr>
            <w:r w:rsidRPr="00397F8A">
              <w:rPr>
                <w:rFonts w:ascii="Times New Roman" w:hAnsi="Times New Roman" w:cs="Times New Roman"/>
                <w:sz w:val="20"/>
                <w:szCs w:val="20"/>
                <w:lang w:val="es-MX"/>
              </w:rPr>
              <w:t xml:space="preserve">Índice de simplicidad de </w:t>
            </w:r>
            <w:proofErr w:type="spellStart"/>
            <w:r w:rsidRPr="00397F8A">
              <w:rPr>
                <w:rFonts w:ascii="Times New Roman" w:hAnsi="Times New Roman" w:cs="Times New Roman"/>
                <w:sz w:val="20"/>
                <w:szCs w:val="20"/>
                <w:lang w:val="es-MX"/>
              </w:rPr>
              <w:t>Bentler</w:t>
            </w:r>
            <w:proofErr w:type="spellEnd"/>
            <w:r w:rsidRPr="00397F8A">
              <w:rPr>
                <w:rFonts w:ascii="Times New Roman" w:hAnsi="Times New Roman" w:cs="Times New Roman"/>
                <w:sz w:val="20"/>
                <w:szCs w:val="20"/>
                <w:lang w:val="es-MX"/>
              </w:rPr>
              <w:t xml:space="preserve"> (S)</w:t>
            </w:r>
          </w:p>
        </w:tc>
        <w:tc>
          <w:tcPr>
            <w:tcW w:w="2349" w:type="dxa"/>
            <w:shd w:val="clear" w:color="auto" w:fill="D5DCE4" w:themeFill="text2" w:themeFillTint="33"/>
          </w:tcPr>
          <w:p w14:paraId="7E70F3D2" w14:textId="77777777" w:rsidR="00216186" w:rsidRPr="00397F8A" w:rsidRDefault="00216186" w:rsidP="00DD794A">
            <w:pPr>
              <w:pStyle w:val="Default"/>
              <w:jc w:val="both"/>
              <w:rPr>
                <w:rFonts w:ascii="Times New Roman" w:hAnsi="Times New Roman" w:cs="Times New Roman"/>
                <w:sz w:val="20"/>
                <w:szCs w:val="20"/>
              </w:rPr>
            </w:pPr>
            <w:r w:rsidRPr="00397F8A">
              <w:rPr>
                <w:rFonts w:ascii="Times New Roman" w:hAnsi="Times New Roman" w:cs="Times New Roman"/>
                <w:sz w:val="20"/>
                <w:szCs w:val="20"/>
                <w:lang w:val="es-MX"/>
              </w:rPr>
              <w:t>0.99417</w:t>
            </w:r>
          </w:p>
        </w:tc>
      </w:tr>
      <w:tr w:rsidR="00216186" w:rsidRPr="00397F8A" w14:paraId="7E70F3D6" w14:textId="77777777" w:rsidTr="00D46937">
        <w:tc>
          <w:tcPr>
            <w:tcW w:w="6629" w:type="dxa"/>
            <w:shd w:val="clear" w:color="auto" w:fill="D5DCE4" w:themeFill="text2" w:themeFillTint="33"/>
          </w:tcPr>
          <w:p w14:paraId="7E70F3D4" w14:textId="77777777" w:rsidR="00216186" w:rsidRPr="00397F8A" w:rsidRDefault="00216186" w:rsidP="00DD794A">
            <w:pPr>
              <w:pStyle w:val="Default"/>
              <w:jc w:val="both"/>
              <w:rPr>
                <w:rFonts w:ascii="Times New Roman" w:hAnsi="Times New Roman" w:cs="Times New Roman"/>
                <w:sz w:val="20"/>
                <w:szCs w:val="20"/>
                <w:lang w:val="es-MX"/>
              </w:rPr>
            </w:pPr>
            <w:r w:rsidRPr="00397F8A">
              <w:rPr>
                <w:rFonts w:ascii="Times New Roman" w:hAnsi="Times New Roman" w:cs="Times New Roman"/>
                <w:sz w:val="20"/>
                <w:szCs w:val="20"/>
                <w:lang w:val="es-MX"/>
              </w:rPr>
              <w:t>Índice de simplicidad de las cargas (LS)</w:t>
            </w:r>
          </w:p>
        </w:tc>
        <w:tc>
          <w:tcPr>
            <w:tcW w:w="2349" w:type="dxa"/>
            <w:shd w:val="clear" w:color="auto" w:fill="D5DCE4" w:themeFill="text2" w:themeFillTint="33"/>
          </w:tcPr>
          <w:p w14:paraId="7E70F3D5" w14:textId="77777777" w:rsidR="00216186" w:rsidRPr="00397F8A" w:rsidRDefault="00216186" w:rsidP="00DD794A">
            <w:pPr>
              <w:pStyle w:val="Default"/>
              <w:jc w:val="both"/>
              <w:rPr>
                <w:rFonts w:ascii="Times New Roman" w:hAnsi="Times New Roman" w:cs="Times New Roman"/>
                <w:sz w:val="20"/>
                <w:szCs w:val="20"/>
              </w:rPr>
            </w:pPr>
            <w:r w:rsidRPr="00397F8A">
              <w:rPr>
                <w:rFonts w:ascii="Times New Roman" w:hAnsi="Times New Roman" w:cs="Times New Roman"/>
                <w:sz w:val="20"/>
                <w:szCs w:val="20"/>
                <w:lang w:val="es-MX"/>
              </w:rPr>
              <w:t>0.49861</w:t>
            </w:r>
          </w:p>
        </w:tc>
      </w:tr>
      <w:tr w:rsidR="00216186" w:rsidRPr="00397F8A" w14:paraId="7E70F3D9" w14:textId="77777777" w:rsidTr="00D46937">
        <w:tc>
          <w:tcPr>
            <w:tcW w:w="6629" w:type="dxa"/>
            <w:shd w:val="clear" w:color="auto" w:fill="D5DCE4" w:themeFill="text2" w:themeFillTint="33"/>
          </w:tcPr>
          <w:p w14:paraId="7E70F3D7" w14:textId="77777777" w:rsidR="00216186" w:rsidRPr="00397F8A" w:rsidRDefault="00216186" w:rsidP="00DD794A">
            <w:pPr>
              <w:pStyle w:val="Default"/>
              <w:jc w:val="both"/>
              <w:rPr>
                <w:rFonts w:ascii="Times New Roman" w:hAnsi="Times New Roman" w:cs="Times New Roman"/>
                <w:sz w:val="20"/>
                <w:szCs w:val="20"/>
              </w:rPr>
            </w:pPr>
            <w:r w:rsidRPr="00397F8A">
              <w:rPr>
                <w:rFonts w:ascii="Times New Roman" w:hAnsi="Times New Roman" w:cs="Times New Roman"/>
                <w:sz w:val="20"/>
                <w:szCs w:val="20"/>
                <w:lang w:val="es-MX"/>
              </w:rPr>
              <w:t xml:space="preserve">Correlación </w:t>
            </w:r>
            <w:proofErr w:type="spellStart"/>
            <w:r w:rsidRPr="00397F8A">
              <w:rPr>
                <w:rFonts w:ascii="Times New Roman" w:hAnsi="Times New Roman" w:cs="Times New Roman"/>
                <w:sz w:val="20"/>
                <w:szCs w:val="20"/>
                <w:lang w:val="es-MX"/>
              </w:rPr>
              <w:t>interfactorial</w:t>
            </w:r>
            <w:proofErr w:type="spellEnd"/>
          </w:p>
        </w:tc>
        <w:tc>
          <w:tcPr>
            <w:tcW w:w="2349" w:type="dxa"/>
            <w:shd w:val="clear" w:color="auto" w:fill="D5DCE4" w:themeFill="text2" w:themeFillTint="33"/>
          </w:tcPr>
          <w:p w14:paraId="7E70F3D8" w14:textId="77777777" w:rsidR="00216186" w:rsidRPr="00397F8A" w:rsidRDefault="00216186" w:rsidP="00DD794A">
            <w:pPr>
              <w:pStyle w:val="Default"/>
              <w:jc w:val="both"/>
              <w:rPr>
                <w:rFonts w:ascii="Times New Roman" w:hAnsi="Times New Roman" w:cs="Times New Roman"/>
                <w:sz w:val="20"/>
                <w:szCs w:val="20"/>
              </w:rPr>
            </w:pPr>
            <w:r w:rsidRPr="00397F8A">
              <w:rPr>
                <w:rFonts w:ascii="Times New Roman" w:hAnsi="Times New Roman" w:cs="Times New Roman"/>
                <w:sz w:val="20"/>
                <w:szCs w:val="20"/>
                <w:lang w:val="es-MX"/>
              </w:rPr>
              <w:t>0.815</w:t>
            </w:r>
          </w:p>
        </w:tc>
      </w:tr>
      <w:tr w:rsidR="00216186" w:rsidRPr="00397F8A" w14:paraId="7E70F3DC" w14:textId="77777777" w:rsidTr="00D46937">
        <w:tc>
          <w:tcPr>
            <w:tcW w:w="6629" w:type="dxa"/>
            <w:shd w:val="clear" w:color="auto" w:fill="D5DCE4" w:themeFill="text2" w:themeFillTint="33"/>
          </w:tcPr>
          <w:p w14:paraId="7E70F3DA" w14:textId="77777777" w:rsidR="00216186" w:rsidRPr="00397F8A" w:rsidRDefault="009032AA" w:rsidP="00DD794A">
            <w:pPr>
              <w:pStyle w:val="Default"/>
              <w:jc w:val="both"/>
              <w:rPr>
                <w:rFonts w:ascii="Times New Roman" w:hAnsi="Times New Roman" w:cs="Times New Roman"/>
                <w:sz w:val="20"/>
                <w:szCs w:val="20"/>
              </w:rPr>
            </w:pPr>
            <w:r w:rsidRPr="00397F8A">
              <w:rPr>
                <w:rFonts w:ascii="Times New Roman" w:hAnsi="Times New Roman" w:cs="Times New Roman"/>
                <w:sz w:val="20"/>
                <w:szCs w:val="20"/>
                <w:lang w:val="es-MX"/>
              </w:rPr>
              <w:t>Fiabilidad</w:t>
            </w:r>
            <w:r w:rsidR="00216186" w:rsidRPr="00397F8A">
              <w:rPr>
                <w:rFonts w:ascii="Times New Roman" w:hAnsi="Times New Roman" w:cs="Times New Roman"/>
                <w:sz w:val="20"/>
                <w:szCs w:val="20"/>
                <w:lang w:val="es-MX"/>
              </w:rPr>
              <w:t xml:space="preserve"> (alfa ordinal/theta)</w:t>
            </w:r>
          </w:p>
        </w:tc>
        <w:tc>
          <w:tcPr>
            <w:tcW w:w="2349" w:type="dxa"/>
            <w:shd w:val="clear" w:color="auto" w:fill="D5DCE4" w:themeFill="text2" w:themeFillTint="33"/>
          </w:tcPr>
          <w:p w14:paraId="7E70F3DB" w14:textId="77777777" w:rsidR="00216186" w:rsidRPr="00397F8A" w:rsidRDefault="00216186" w:rsidP="00DD794A">
            <w:pPr>
              <w:pStyle w:val="Default"/>
              <w:jc w:val="both"/>
              <w:rPr>
                <w:rFonts w:ascii="Times New Roman" w:hAnsi="Times New Roman" w:cs="Times New Roman"/>
                <w:sz w:val="20"/>
                <w:szCs w:val="20"/>
              </w:rPr>
            </w:pPr>
            <w:r w:rsidRPr="00397F8A">
              <w:rPr>
                <w:rFonts w:ascii="Times New Roman" w:hAnsi="Times New Roman" w:cs="Times New Roman"/>
                <w:sz w:val="20"/>
                <w:szCs w:val="20"/>
                <w:lang w:val="es-MX"/>
              </w:rPr>
              <w:t>0.969/0.97</w:t>
            </w:r>
          </w:p>
        </w:tc>
      </w:tr>
      <w:tr w:rsidR="00216186" w:rsidRPr="00397F8A" w14:paraId="7E70F3DF" w14:textId="77777777" w:rsidTr="00D46937">
        <w:tc>
          <w:tcPr>
            <w:tcW w:w="6629" w:type="dxa"/>
            <w:shd w:val="clear" w:color="auto" w:fill="D5DCE4" w:themeFill="text2" w:themeFillTint="33"/>
          </w:tcPr>
          <w:p w14:paraId="7E70F3DD" w14:textId="77777777" w:rsidR="00216186" w:rsidRPr="00397F8A" w:rsidRDefault="00216186" w:rsidP="00DD794A">
            <w:pPr>
              <w:jc w:val="both"/>
              <w:rPr>
                <w:rFonts w:ascii="Times New Roman" w:hAnsi="Times New Roman" w:cs="Times New Roman"/>
                <w:sz w:val="20"/>
                <w:szCs w:val="20"/>
              </w:rPr>
            </w:pPr>
            <w:r w:rsidRPr="00397F8A">
              <w:rPr>
                <w:rFonts w:ascii="Times New Roman" w:hAnsi="Times New Roman" w:cs="Times New Roman"/>
                <w:sz w:val="20"/>
                <w:szCs w:val="20"/>
              </w:rPr>
              <w:t>RMSR</w:t>
            </w:r>
          </w:p>
        </w:tc>
        <w:tc>
          <w:tcPr>
            <w:tcW w:w="2349" w:type="dxa"/>
            <w:shd w:val="clear" w:color="auto" w:fill="D5DCE4" w:themeFill="text2" w:themeFillTint="33"/>
          </w:tcPr>
          <w:p w14:paraId="7E70F3DE" w14:textId="77777777" w:rsidR="00216186" w:rsidRPr="00397F8A" w:rsidRDefault="00216186" w:rsidP="00DD794A">
            <w:pPr>
              <w:jc w:val="both"/>
              <w:rPr>
                <w:rFonts w:ascii="Times New Roman" w:hAnsi="Times New Roman" w:cs="Times New Roman"/>
                <w:sz w:val="20"/>
                <w:szCs w:val="20"/>
              </w:rPr>
            </w:pPr>
            <w:r w:rsidRPr="00397F8A">
              <w:rPr>
                <w:rFonts w:ascii="Times New Roman" w:hAnsi="Times New Roman" w:cs="Times New Roman"/>
                <w:sz w:val="20"/>
                <w:szCs w:val="20"/>
              </w:rPr>
              <w:t>0.0702</w:t>
            </w:r>
          </w:p>
        </w:tc>
      </w:tr>
    </w:tbl>
    <w:p w14:paraId="7E70F3E0" w14:textId="77777777" w:rsidR="00216186" w:rsidRPr="00397F8A" w:rsidRDefault="00216186" w:rsidP="00DD794A">
      <w:pPr>
        <w:pStyle w:val="Default"/>
        <w:spacing w:after="120"/>
        <w:jc w:val="both"/>
        <w:rPr>
          <w:rFonts w:ascii="Times New Roman" w:hAnsi="Times New Roman" w:cs="Times New Roman"/>
          <w:sz w:val="18"/>
          <w:szCs w:val="18"/>
          <w:lang w:val="es-MX"/>
        </w:rPr>
      </w:pPr>
      <w:r w:rsidRPr="00397F8A">
        <w:rPr>
          <w:rFonts w:ascii="Times New Roman" w:hAnsi="Times New Roman" w:cs="Times New Roman"/>
          <w:i/>
          <w:sz w:val="18"/>
          <w:szCs w:val="18"/>
          <w:lang w:val="es-MX"/>
        </w:rPr>
        <w:t>Nota:</w:t>
      </w:r>
      <w:r w:rsidRPr="00397F8A">
        <w:rPr>
          <w:rFonts w:ascii="Times New Roman" w:hAnsi="Times New Roman" w:cs="Times New Roman"/>
          <w:sz w:val="18"/>
          <w:szCs w:val="18"/>
          <w:lang w:val="es-MX"/>
        </w:rPr>
        <w:t xml:space="preserve"> Elaboración propia; cálculo con el programa FACTOR.</w:t>
      </w:r>
    </w:p>
    <w:p w14:paraId="7E70F3E1" w14:textId="77777777" w:rsidR="00216186" w:rsidRPr="00AB0274" w:rsidRDefault="00216186" w:rsidP="00DD794A">
      <w:pPr>
        <w:spacing w:before="120" w:after="120" w:line="240" w:lineRule="auto"/>
        <w:ind w:firstLine="709"/>
        <w:jc w:val="both"/>
        <w:rPr>
          <w:rFonts w:ascii="Times New Roman" w:hAnsi="Times New Roman" w:cs="Times New Roman"/>
          <w:sz w:val="24"/>
          <w:szCs w:val="24"/>
        </w:rPr>
      </w:pPr>
      <w:r w:rsidRPr="00AB0274">
        <w:rPr>
          <w:rFonts w:ascii="Times New Roman" w:hAnsi="Times New Roman" w:cs="Times New Roman"/>
          <w:sz w:val="24"/>
          <w:szCs w:val="24"/>
        </w:rPr>
        <w:lastRenderedPageBreak/>
        <w:t xml:space="preserve">Los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quedaron agrupados en dos factores, el primer factor compuesto por 18 ítems y el segun</w:t>
      </w:r>
      <w:r w:rsidR="00030628" w:rsidRPr="00AB0274">
        <w:rPr>
          <w:rFonts w:ascii="Times New Roman" w:hAnsi="Times New Roman" w:cs="Times New Roman"/>
          <w:sz w:val="24"/>
          <w:szCs w:val="24"/>
        </w:rPr>
        <w:t>do por 16 ítems. En la tabla 9</w:t>
      </w:r>
      <w:r w:rsidRPr="00AB0274">
        <w:rPr>
          <w:rFonts w:ascii="Times New Roman" w:hAnsi="Times New Roman" w:cs="Times New Roman"/>
          <w:sz w:val="24"/>
          <w:szCs w:val="24"/>
        </w:rPr>
        <w:t xml:space="preserve"> se representan las cargas factoriales de los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por factor. Cabe señalar que las cargas factoriales con valores inferiores a 0.300 han sido omitidos.</w:t>
      </w:r>
    </w:p>
    <w:p w14:paraId="7E70F3E2" w14:textId="77777777" w:rsidR="00216186" w:rsidRPr="00DD794A" w:rsidRDefault="00030628" w:rsidP="00DD794A">
      <w:pPr>
        <w:spacing w:before="120" w:after="0" w:line="240" w:lineRule="auto"/>
        <w:jc w:val="both"/>
        <w:rPr>
          <w:rFonts w:ascii="Times New Roman" w:hAnsi="Times New Roman" w:cs="Times New Roman"/>
          <w:b/>
          <w:sz w:val="24"/>
          <w:szCs w:val="24"/>
        </w:rPr>
      </w:pPr>
      <w:r w:rsidRPr="00DD794A">
        <w:rPr>
          <w:rFonts w:ascii="Times New Roman" w:hAnsi="Times New Roman" w:cs="Times New Roman"/>
          <w:b/>
          <w:sz w:val="24"/>
          <w:szCs w:val="24"/>
        </w:rPr>
        <w:t>Tabla 9</w:t>
      </w:r>
    </w:p>
    <w:p w14:paraId="7E70F3E3" w14:textId="77777777" w:rsidR="00216186" w:rsidRPr="00DD794A" w:rsidRDefault="00216186" w:rsidP="00DD794A">
      <w:pPr>
        <w:spacing w:after="120" w:line="240" w:lineRule="auto"/>
        <w:jc w:val="both"/>
        <w:rPr>
          <w:rFonts w:ascii="Times New Roman" w:hAnsi="Times New Roman" w:cs="Times New Roman"/>
          <w:i/>
          <w:sz w:val="24"/>
          <w:szCs w:val="24"/>
        </w:rPr>
      </w:pPr>
      <w:r w:rsidRPr="00DD794A">
        <w:rPr>
          <w:rFonts w:ascii="Times New Roman" w:hAnsi="Times New Roman" w:cs="Times New Roman"/>
          <w:i/>
          <w:sz w:val="24"/>
          <w:szCs w:val="24"/>
        </w:rPr>
        <w:t>Matriz factorial* rotada** de dos factores.</w:t>
      </w:r>
    </w:p>
    <w:tbl>
      <w:tblPr>
        <w:tblStyle w:val="Tablaconcuadrcula"/>
        <w:tblW w:w="0" w:type="auto"/>
        <w:tblBorders>
          <w:left w:val="none" w:sz="0" w:space="0" w:color="auto"/>
          <w:right w:val="none" w:sz="0" w:space="0" w:color="auto"/>
          <w:insideH w:val="single" w:sz="4" w:space="0" w:color="FFFFFF" w:themeColor="background1"/>
          <w:insideV w:val="none" w:sz="0" w:space="0" w:color="auto"/>
        </w:tblBorders>
        <w:shd w:val="clear" w:color="auto" w:fill="D5DCE4" w:themeFill="text2" w:themeFillTint="33"/>
        <w:tblLook w:val="04A0" w:firstRow="1" w:lastRow="0" w:firstColumn="1" w:lastColumn="0" w:noHBand="0" w:noVBand="1"/>
      </w:tblPr>
      <w:tblGrid>
        <w:gridCol w:w="1101"/>
        <w:gridCol w:w="3827"/>
        <w:gridCol w:w="4050"/>
      </w:tblGrid>
      <w:tr w:rsidR="00216186" w:rsidRPr="00AB0274" w14:paraId="7E70F3E7" w14:textId="77777777" w:rsidTr="00D46937">
        <w:tc>
          <w:tcPr>
            <w:tcW w:w="1101" w:type="dxa"/>
            <w:shd w:val="clear" w:color="auto" w:fill="D5DCE4" w:themeFill="text2" w:themeFillTint="33"/>
          </w:tcPr>
          <w:p w14:paraId="7E70F3E4"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Ítem</w:t>
            </w:r>
          </w:p>
        </w:tc>
        <w:tc>
          <w:tcPr>
            <w:tcW w:w="3827" w:type="dxa"/>
            <w:shd w:val="clear" w:color="auto" w:fill="D5DCE4" w:themeFill="text2" w:themeFillTint="33"/>
          </w:tcPr>
          <w:p w14:paraId="7E70F3E5"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Factor 1</w:t>
            </w:r>
          </w:p>
        </w:tc>
        <w:tc>
          <w:tcPr>
            <w:tcW w:w="4050" w:type="dxa"/>
            <w:shd w:val="clear" w:color="auto" w:fill="D5DCE4" w:themeFill="text2" w:themeFillTint="33"/>
          </w:tcPr>
          <w:p w14:paraId="7E70F3E6"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Factor 2</w:t>
            </w:r>
          </w:p>
        </w:tc>
      </w:tr>
      <w:tr w:rsidR="00216186" w:rsidRPr="00AB0274" w14:paraId="7E70F3EB" w14:textId="77777777" w:rsidTr="00D46937">
        <w:tc>
          <w:tcPr>
            <w:tcW w:w="1101" w:type="dxa"/>
            <w:shd w:val="clear" w:color="auto" w:fill="D5DCE4" w:themeFill="text2" w:themeFillTint="33"/>
          </w:tcPr>
          <w:p w14:paraId="7E70F3E8"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3E9" w14:textId="77777777" w:rsidR="00216186" w:rsidRPr="00397F8A" w:rsidRDefault="00216186" w:rsidP="00DD794A">
            <w:pPr>
              <w:jc w:val="center"/>
              <w:rPr>
                <w:rFonts w:ascii="Times New Roman" w:hAnsi="Times New Roman" w:cs="Times New Roman"/>
                <w:sz w:val="20"/>
                <w:szCs w:val="20"/>
              </w:rPr>
            </w:pPr>
          </w:p>
        </w:tc>
        <w:tc>
          <w:tcPr>
            <w:tcW w:w="4050" w:type="dxa"/>
            <w:shd w:val="clear" w:color="auto" w:fill="D5DCE4" w:themeFill="text2" w:themeFillTint="33"/>
          </w:tcPr>
          <w:p w14:paraId="7E70F3EA"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0.815</w:t>
            </w:r>
          </w:p>
        </w:tc>
      </w:tr>
      <w:tr w:rsidR="00216186" w:rsidRPr="00AB0274" w14:paraId="7E70F3EF" w14:textId="77777777" w:rsidTr="00D46937">
        <w:tc>
          <w:tcPr>
            <w:tcW w:w="1101" w:type="dxa"/>
            <w:shd w:val="clear" w:color="auto" w:fill="D5DCE4" w:themeFill="text2" w:themeFillTint="33"/>
          </w:tcPr>
          <w:p w14:paraId="7E70F3EC"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3ED" w14:textId="77777777" w:rsidR="00216186" w:rsidRPr="00397F8A" w:rsidRDefault="00216186" w:rsidP="00DD794A">
            <w:pPr>
              <w:jc w:val="center"/>
              <w:rPr>
                <w:rFonts w:ascii="Times New Roman" w:hAnsi="Times New Roman" w:cs="Times New Roman"/>
                <w:sz w:val="20"/>
                <w:szCs w:val="20"/>
              </w:rPr>
            </w:pPr>
          </w:p>
        </w:tc>
        <w:tc>
          <w:tcPr>
            <w:tcW w:w="4050" w:type="dxa"/>
            <w:shd w:val="clear" w:color="auto" w:fill="D5DCE4" w:themeFill="text2" w:themeFillTint="33"/>
          </w:tcPr>
          <w:p w14:paraId="7E70F3EE"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0.672</w:t>
            </w:r>
          </w:p>
        </w:tc>
      </w:tr>
      <w:tr w:rsidR="00216186" w:rsidRPr="00AB0274" w14:paraId="7E70F3F3" w14:textId="77777777" w:rsidTr="00D46937">
        <w:tc>
          <w:tcPr>
            <w:tcW w:w="1101" w:type="dxa"/>
            <w:shd w:val="clear" w:color="auto" w:fill="D5DCE4" w:themeFill="text2" w:themeFillTint="33"/>
          </w:tcPr>
          <w:p w14:paraId="7E70F3F0"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3F1" w14:textId="77777777" w:rsidR="00216186" w:rsidRPr="00397F8A" w:rsidRDefault="00216186" w:rsidP="00DD794A">
            <w:pPr>
              <w:jc w:val="center"/>
              <w:rPr>
                <w:rFonts w:ascii="Times New Roman" w:hAnsi="Times New Roman" w:cs="Times New Roman"/>
                <w:sz w:val="20"/>
                <w:szCs w:val="20"/>
              </w:rPr>
            </w:pPr>
          </w:p>
        </w:tc>
        <w:tc>
          <w:tcPr>
            <w:tcW w:w="4050" w:type="dxa"/>
            <w:shd w:val="clear" w:color="auto" w:fill="D5DCE4" w:themeFill="text2" w:themeFillTint="33"/>
          </w:tcPr>
          <w:p w14:paraId="7E70F3F2"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0.746</w:t>
            </w:r>
          </w:p>
        </w:tc>
      </w:tr>
      <w:tr w:rsidR="00216186" w:rsidRPr="00AB0274" w14:paraId="7E70F3F7" w14:textId="77777777" w:rsidTr="00D46937">
        <w:tc>
          <w:tcPr>
            <w:tcW w:w="1101" w:type="dxa"/>
            <w:shd w:val="clear" w:color="auto" w:fill="D5DCE4" w:themeFill="text2" w:themeFillTint="33"/>
          </w:tcPr>
          <w:p w14:paraId="7E70F3F4"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3F5" w14:textId="77777777" w:rsidR="00216186" w:rsidRPr="00397F8A" w:rsidRDefault="00216186" w:rsidP="00DD794A">
            <w:pPr>
              <w:jc w:val="center"/>
              <w:rPr>
                <w:rFonts w:ascii="Times New Roman" w:hAnsi="Times New Roman" w:cs="Times New Roman"/>
                <w:sz w:val="20"/>
                <w:szCs w:val="20"/>
              </w:rPr>
            </w:pPr>
          </w:p>
        </w:tc>
        <w:tc>
          <w:tcPr>
            <w:tcW w:w="4050" w:type="dxa"/>
            <w:shd w:val="clear" w:color="auto" w:fill="D5DCE4" w:themeFill="text2" w:themeFillTint="33"/>
          </w:tcPr>
          <w:p w14:paraId="7E70F3F6"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0.865</w:t>
            </w:r>
          </w:p>
        </w:tc>
      </w:tr>
      <w:tr w:rsidR="00216186" w:rsidRPr="00AB0274" w14:paraId="7E70F3FB" w14:textId="77777777" w:rsidTr="00D46937">
        <w:tc>
          <w:tcPr>
            <w:tcW w:w="1101" w:type="dxa"/>
            <w:shd w:val="clear" w:color="auto" w:fill="D5DCE4" w:themeFill="text2" w:themeFillTint="33"/>
          </w:tcPr>
          <w:p w14:paraId="7E70F3F8"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3F9" w14:textId="77777777" w:rsidR="00216186" w:rsidRPr="00397F8A" w:rsidRDefault="00216186" w:rsidP="00DD794A">
            <w:pPr>
              <w:jc w:val="center"/>
              <w:rPr>
                <w:rFonts w:ascii="Times New Roman" w:hAnsi="Times New Roman" w:cs="Times New Roman"/>
                <w:sz w:val="20"/>
                <w:szCs w:val="20"/>
              </w:rPr>
            </w:pPr>
          </w:p>
        </w:tc>
        <w:tc>
          <w:tcPr>
            <w:tcW w:w="4050" w:type="dxa"/>
            <w:shd w:val="clear" w:color="auto" w:fill="D5DCE4" w:themeFill="text2" w:themeFillTint="33"/>
          </w:tcPr>
          <w:p w14:paraId="7E70F3FA"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0.888</w:t>
            </w:r>
          </w:p>
        </w:tc>
      </w:tr>
      <w:tr w:rsidR="00216186" w:rsidRPr="00AB0274" w14:paraId="7E70F3FF" w14:textId="77777777" w:rsidTr="00D46937">
        <w:tc>
          <w:tcPr>
            <w:tcW w:w="1101" w:type="dxa"/>
            <w:shd w:val="clear" w:color="auto" w:fill="D5DCE4" w:themeFill="text2" w:themeFillTint="33"/>
          </w:tcPr>
          <w:p w14:paraId="7E70F3FC"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3FD" w14:textId="77777777" w:rsidR="00216186" w:rsidRPr="00397F8A" w:rsidRDefault="00216186" w:rsidP="00DD794A">
            <w:pPr>
              <w:jc w:val="center"/>
              <w:rPr>
                <w:rFonts w:ascii="Times New Roman" w:hAnsi="Times New Roman" w:cs="Times New Roman"/>
                <w:sz w:val="20"/>
                <w:szCs w:val="20"/>
              </w:rPr>
            </w:pPr>
          </w:p>
        </w:tc>
        <w:tc>
          <w:tcPr>
            <w:tcW w:w="4050" w:type="dxa"/>
            <w:shd w:val="clear" w:color="auto" w:fill="D5DCE4" w:themeFill="text2" w:themeFillTint="33"/>
          </w:tcPr>
          <w:p w14:paraId="7E70F3FE"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0.460</w:t>
            </w:r>
          </w:p>
        </w:tc>
      </w:tr>
      <w:tr w:rsidR="00216186" w:rsidRPr="00AB0274" w14:paraId="7E70F403" w14:textId="77777777" w:rsidTr="00D46937">
        <w:tc>
          <w:tcPr>
            <w:tcW w:w="1101" w:type="dxa"/>
            <w:shd w:val="clear" w:color="auto" w:fill="D5DCE4" w:themeFill="text2" w:themeFillTint="33"/>
          </w:tcPr>
          <w:p w14:paraId="7E70F400"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401"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0.618</w:t>
            </w:r>
          </w:p>
        </w:tc>
        <w:tc>
          <w:tcPr>
            <w:tcW w:w="4050" w:type="dxa"/>
            <w:shd w:val="clear" w:color="auto" w:fill="D5DCE4" w:themeFill="text2" w:themeFillTint="33"/>
          </w:tcPr>
          <w:p w14:paraId="7E70F402"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07" w14:textId="77777777" w:rsidTr="00D46937">
        <w:tc>
          <w:tcPr>
            <w:tcW w:w="1101" w:type="dxa"/>
            <w:shd w:val="clear" w:color="auto" w:fill="D5DCE4" w:themeFill="text2" w:themeFillTint="33"/>
          </w:tcPr>
          <w:p w14:paraId="7E70F404"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405"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0.614</w:t>
            </w:r>
          </w:p>
        </w:tc>
        <w:tc>
          <w:tcPr>
            <w:tcW w:w="4050" w:type="dxa"/>
            <w:shd w:val="clear" w:color="auto" w:fill="D5DCE4" w:themeFill="text2" w:themeFillTint="33"/>
          </w:tcPr>
          <w:p w14:paraId="7E70F406"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0B" w14:textId="77777777" w:rsidTr="00D46937">
        <w:tc>
          <w:tcPr>
            <w:tcW w:w="1101" w:type="dxa"/>
            <w:shd w:val="clear" w:color="auto" w:fill="D5DCE4" w:themeFill="text2" w:themeFillTint="33"/>
          </w:tcPr>
          <w:p w14:paraId="7E70F408"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409"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0.537</w:t>
            </w:r>
          </w:p>
        </w:tc>
        <w:tc>
          <w:tcPr>
            <w:tcW w:w="4050" w:type="dxa"/>
            <w:shd w:val="clear" w:color="auto" w:fill="D5DCE4" w:themeFill="text2" w:themeFillTint="33"/>
          </w:tcPr>
          <w:p w14:paraId="7E70F40A"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0F" w14:textId="77777777" w:rsidTr="00D46937">
        <w:tc>
          <w:tcPr>
            <w:tcW w:w="1101" w:type="dxa"/>
            <w:shd w:val="clear" w:color="auto" w:fill="D5DCE4" w:themeFill="text2" w:themeFillTint="33"/>
          </w:tcPr>
          <w:p w14:paraId="7E70F40C"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40D" w14:textId="77777777" w:rsidR="00216186" w:rsidRPr="00397F8A" w:rsidRDefault="00216186" w:rsidP="00DD794A">
            <w:pPr>
              <w:jc w:val="center"/>
              <w:rPr>
                <w:rFonts w:ascii="Times New Roman" w:hAnsi="Times New Roman" w:cs="Times New Roman"/>
                <w:sz w:val="20"/>
                <w:szCs w:val="20"/>
              </w:rPr>
            </w:pPr>
          </w:p>
        </w:tc>
        <w:tc>
          <w:tcPr>
            <w:tcW w:w="4050" w:type="dxa"/>
            <w:shd w:val="clear" w:color="auto" w:fill="D5DCE4" w:themeFill="text2" w:themeFillTint="33"/>
          </w:tcPr>
          <w:p w14:paraId="7E70F40E"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0.569</w:t>
            </w:r>
          </w:p>
        </w:tc>
      </w:tr>
      <w:tr w:rsidR="00216186" w:rsidRPr="00AB0274" w14:paraId="7E70F413" w14:textId="77777777" w:rsidTr="00D46937">
        <w:tc>
          <w:tcPr>
            <w:tcW w:w="1101" w:type="dxa"/>
            <w:shd w:val="clear" w:color="auto" w:fill="D5DCE4" w:themeFill="text2" w:themeFillTint="33"/>
          </w:tcPr>
          <w:p w14:paraId="7E70F410"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411"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0.620</w:t>
            </w:r>
          </w:p>
        </w:tc>
        <w:tc>
          <w:tcPr>
            <w:tcW w:w="4050" w:type="dxa"/>
            <w:shd w:val="clear" w:color="auto" w:fill="D5DCE4" w:themeFill="text2" w:themeFillTint="33"/>
          </w:tcPr>
          <w:p w14:paraId="7E70F412"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17" w14:textId="77777777" w:rsidTr="00D46937">
        <w:tc>
          <w:tcPr>
            <w:tcW w:w="1101" w:type="dxa"/>
            <w:shd w:val="clear" w:color="auto" w:fill="D5DCE4" w:themeFill="text2" w:themeFillTint="33"/>
          </w:tcPr>
          <w:p w14:paraId="7E70F414"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415"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0.899</w:t>
            </w:r>
          </w:p>
        </w:tc>
        <w:tc>
          <w:tcPr>
            <w:tcW w:w="4050" w:type="dxa"/>
            <w:shd w:val="clear" w:color="auto" w:fill="D5DCE4" w:themeFill="text2" w:themeFillTint="33"/>
          </w:tcPr>
          <w:p w14:paraId="7E70F416"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1B" w14:textId="77777777" w:rsidTr="00D46937">
        <w:tc>
          <w:tcPr>
            <w:tcW w:w="1101" w:type="dxa"/>
            <w:shd w:val="clear" w:color="auto" w:fill="D5DCE4" w:themeFill="text2" w:themeFillTint="33"/>
          </w:tcPr>
          <w:p w14:paraId="7E70F418"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419"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0.839</w:t>
            </w:r>
          </w:p>
        </w:tc>
        <w:tc>
          <w:tcPr>
            <w:tcW w:w="4050" w:type="dxa"/>
            <w:shd w:val="clear" w:color="auto" w:fill="D5DCE4" w:themeFill="text2" w:themeFillTint="33"/>
          </w:tcPr>
          <w:p w14:paraId="7E70F41A"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1F" w14:textId="77777777" w:rsidTr="00D46937">
        <w:tc>
          <w:tcPr>
            <w:tcW w:w="1101" w:type="dxa"/>
            <w:shd w:val="clear" w:color="auto" w:fill="D5DCE4" w:themeFill="text2" w:themeFillTint="33"/>
          </w:tcPr>
          <w:p w14:paraId="7E70F41C"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41D"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0.536</w:t>
            </w:r>
          </w:p>
        </w:tc>
        <w:tc>
          <w:tcPr>
            <w:tcW w:w="4050" w:type="dxa"/>
            <w:shd w:val="clear" w:color="auto" w:fill="D5DCE4" w:themeFill="text2" w:themeFillTint="33"/>
          </w:tcPr>
          <w:p w14:paraId="7E70F41E"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23" w14:textId="77777777" w:rsidTr="00D46937">
        <w:tc>
          <w:tcPr>
            <w:tcW w:w="1101" w:type="dxa"/>
            <w:shd w:val="clear" w:color="auto" w:fill="D5DCE4" w:themeFill="text2" w:themeFillTint="33"/>
          </w:tcPr>
          <w:p w14:paraId="7E70F420"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421"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0.608</w:t>
            </w:r>
          </w:p>
        </w:tc>
        <w:tc>
          <w:tcPr>
            <w:tcW w:w="4050" w:type="dxa"/>
            <w:shd w:val="clear" w:color="auto" w:fill="D5DCE4" w:themeFill="text2" w:themeFillTint="33"/>
          </w:tcPr>
          <w:p w14:paraId="7E70F422"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27" w14:textId="77777777" w:rsidTr="00D46937">
        <w:tc>
          <w:tcPr>
            <w:tcW w:w="1101" w:type="dxa"/>
            <w:shd w:val="clear" w:color="auto" w:fill="D5DCE4" w:themeFill="text2" w:themeFillTint="33"/>
          </w:tcPr>
          <w:p w14:paraId="7E70F424"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425"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0.927</w:t>
            </w:r>
          </w:p>
        </w:tc>
        <w:tc>
          <w:tcPr>
            <w:tcW w:w="4050" w:type="dxa"/>
            <w:shd w:val="clear" w:color="auto" w:fill="D5DCE4" w:themeFill="text2" w:themeFillTint="33"/>
          </w:tcPr>
          <w:p w14:paraId="7E70F426"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2B" w14:textId="77777777" w:rsidTr="00D46937">
        <w:tc>
          <w:tcPr>
            <w:tcW w:w="1101" w:type="dxa"/>
            <w:shd w:val="clear" w:color="auto" w:fill="D5DCE4" w:themeFill="text2" w:themeFillTint="33"/>
          </w:tcPr>
          <w:p w14:paraId="7E70F428"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429"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0.949</w:t>
            </w:r>
          </w:p>
        </w:tc>
        <w:tc>
          <w:tcPr>
            <w:tcW w:w="4050" w:type="dxa"/>
            <w:shd w:val="clear" w:color="auto" w:fill="D5DCE4" w:themeFill="text2" w:themeFillTint="33"/>
          </w:tcPr>
          <w:p w14:paraId="7E70F42A"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2F" w14:textId="77777777" w:rsidTr="00D46937">
        <w:tc>
          <w:tcPr>
            <w:tcW w:w="1101" w:type="dxa"/>
            <w:shd w:val="clear" w:color="auto" w:fill="D5DCE4" w:themeFill="text2" w:themeFillTint="33"/>
          </w:tcPr>
          <w:p w14:paraId="7E70F42C"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42D"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0.782</w:t>
            </w:r>
          </w:p>
        </w:tc>
        <w:tc>
          <w:tcPr>
            <w:tcW w:w="4050" w:type="dxa"/>
            <w:shd w:val="clear" w:color="auto" w:fill="D5DCE4" w:themeFill="text2" w:themeFillTint="33"/>
          </w:tcPr>
          <w:p w14:paraId="7E70F42E"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33" w14:textId="77777777" w:rsidTr="00D46937">
        <w:tc>
          <w:tcPr>
            <w:tcW w:w="1101" w:type="dxa"/>
            <w:shd w:val="clear" w:color="auto" w:fill="D5DCE4" w:themeFill="text2" w:themeFillTint="33"/>
          </w:tcPr>
          <w:p w14:paraId="7E70F430"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431"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0.950</w:t>
            </w:r>
          </w:p>
        </w:tc>
        <w:tc>
          <w:tcPr>
            <w:tcW w:w="4050" w:type="dxa"/>
            <w:shd w:val="clear" w:color="auto" w:fill="D5DCE4" w:themeFill="text2" w:themeFillTint="33"/>
          </w:tcPr>
          <w:p w14:paraId="7E70F432"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37" w14:textId="77777777" w:rsidTr="00D46937">
        <w:tc>
          <w:tcPr>
            <w:tcW w:w="1101" w:type="dxa"/>
            <w:shd w:val="clear" w:color="auto" w:fill="D5DCE4" w:themeFill="text2" w:themeFillTint="33"/>
          </w:tcPr>
          <w:p w14:paraId="7E70F434"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435"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0.547</w:t>
            </w:r>
          </w:p>
        </w:tc>
        <w:tc>
          <w:tcPr>
            <w:tcW w:w="4050" w:type="dxa"/>
            <w:shd w:val="clear" w:color="auto" w:fill="D5DCE4" w:themeFill="text2" w:themeFillTint="33"/>
          </w:tcPr>
          <w:p w14:paraId="7E70F436"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3B" w14:textId="77777777" w:rsidTr="00D46937">
        <w:tc>
          <w:tcPr>
            <w:tcW w:w="1101" w:type="dxa"/>
            <w:shd w:val="clear" w:color="auto" w:fill="D5DCE4" w:themeFill="text2" w:themeFillTint="33"/>
          </w:tcPr>
          <w:p w14:paraId="7E70F438"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shd w:val="clear" w:color="auto" w:fill="D5DCE4" w:themeFill="text2" w:themeFillTint="33"/>
          </w:tcPr>
          <w:p w14:paraId="7E70F439"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0.643</w:t>
            </w:r>
          </w:p>
        </w:tc>
        <w:tc>
          <w:tcPr>
            <w:tcW w:w="4050" w:type="dxa"/>
            <w:shd w:val="clear" w:color="auto" w:fill="D5DCE4" w:themeFill="text2" w:themeFillTint="33"/>
          </w:tcPr>
          <w:p w14:paraId="7E70F43A"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3F" w14:textId="77777777" w:rsidTr="00D46937">
        <w:tc>
          <w:tcPr>
            <w:tcW w:w="1101" w:type="dxa"/>
            <w:tcBorders>
              <w:bottom w:val="single" w:sz="4" w:space="0" w:color="FFFFFF" w:themeColor="background1"/>
            </w:tcBorders>
            <w:shd w:val="clear" w:color="auto" w:fill="D5DCE4" w:themeFill="text2" w:themeFillTint="33"/>
          </w:tcPr>
          <w:p w14:paraId="7E70F43C"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tcBorders>
              <w:bottom w:val="single" w:sz="4" w:space="0" w:color="FFFFFF" w:themeColor="background1"/>
            </w:tcBorders>
            <w:shd w:val="clear" w:color="auto" w:fill="D5DCE4" w:themeFill="text2" w:themeFillTint="33"/>
          </w:tcPr>
          <w:p w14:paraId="7E70F43D"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0.558</w:t>
            </w:r>
          </w:p>
        </w:tc>
        <w:tc>
          <w:tcPr>
            <w:tcW w:w="4050" w:type="dxa"/>
            <w:tcBorders>
              <w:bottom w:val="single" w:sz="4" w:space="0" w:color="FFFFFF" w:themeColor="background1"/>
            </w:tcBorders>
            <w:shd w:val="clear" w:color="auto" w:fill="D5DCE4" w:themeFill="text2" w:themeFillTint="33"/>
          </w:tcPr>
          <w:p w14:paraId="7E70F43E"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43" w14:textId="77777777" w:rsidTr="00D46937">
        <w:tblPrEx>
          <w:tblBorders>
            <w:insideH w:val="single" w:sz="4" w:space="0" w:color="auto"/>
          </w:tblBorders>
          <w:shd w:val="clear" w:color="auto" w:fill="auto"/>
        </w:tblPrEx>
        <w:tc>
          <w:tcPr>
            <w:tcW w:w="1101" w:type="dxa"/>
            <w:tcBorders>
              <w:top w:val="single" w:sz="4" w:space="0" w:color="FFFFFF" w:themeColor="background1"/>
              <w:bottom w:val="single" w:sz="4" w:space="0" w:color="FFFFFF" w:themeColor="background1"/>
            </w:tcBorders>
            <w:shd w:val="clear" w:color="auto" w:fill="D5DCE4" w:themeFill="text2" w:themeFillTint="33"/>
          </w:tcPr>
          <w:p w14:paraId="7E70F440"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tcBorders>
              <w:top w:val="single" w:sz="4" w:space="0" w:color="FFFFFF" w:themeColor="background1"/>
              <w:bottom w:val="single" w:sz="4" w:space="0" w:color="FFFFFF" w:themeColor="background1"/>
            </w:tcBorders>
            <w:shd w:val="clear" w:color="auto" w:fill="D5DCE4" w:themeFill="text2" w:themeFillTint="33"/>
          </w:tcPr>
          <w:p w14:paraId="7E70F441"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0.745</w:t>
            </w:r>
          </w:p>
        </w:tc>
        <w:tc>
          <w:tcPr>
            <w:tcW w:w="4050" w:type="dxa"/>
            <w:tcBorders>
              <w:top w:val="single" w:sz="4" w:space="0" w:color="FFFFFF" w:themeColor="background1"/>
              <w:bottom w:val="single" w:sz="4" w:space="0" w:color="FFFFFF" w:themeColor="background1"/>
            </w:tcBorders>
            <w:shd w:val="clear" w:color="auto" w:fill="D5DCE4" w:themeFill="text2" w:themeFillTint="33"/>
          </w:tcPr>
          <w:p w14:paraId="7E70F442"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47" w14:textId="77777777" w:rsidTr="00D46937">
        <w:tblPrEx>
          <w:tblBorders>
            <w:insideH w:val="single" w:sz="4" w:space="0" w:color="auto"/>
          </w:tblBorders>
          <w:shd w:val="clear" w:color="auto" w:fill="auto"/>
        </w:tblPrEx>
        <w:tc>
          <w:tcPr>
            <w:tcW w:w="1101" w:type="dxa"/>
            <w:tcBorders>
              <w:top w:val="single" w:sz="4" w:space="0" w:color="FFFFFF" w:themeColor="background1"/>
              <w:bottom w:val="single" w:sz="4" w:space="0" w:color="FFFFFF" w:themeColor="background1"/>
            </w:tcBorders>
            <w:shd w:val="clear" w:color="auto" w:fill="D5DCE4" w:themeFill="text2" w:themeFillTint="33"/>
          </w:tcPr>
          <w:p w14:paraId="7E70F444"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tcBorders>
              <w:top w:val="single" w:sz="4" w:space="0" w:color="FFFFFF" w:themeColor="background1"/>
              <w:bottom w:val="single" w:sz="4" w:space="0" w:color="FFFFFF" w:themeColor="background1"/>
            </w:tcBorders>
            <w:shd w:val="clear" w:color="auto" w:fill="D5DCE4" w:themeFill="text2" w:themeFillTint="33"/>
          </w:tcPr>
          <w:p w14:paraId="7E70F445"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0.706</w:t>
            </w:r>
          </w:p>
        </w:tc>
        <w:tc>
          <w:tcPr>
            <w:tcW w:w="4050" w:type="dxa"/>
            <w:tcBorders>
              <w:top w:val="single" w:sz="4" w:space="0" w:color="FFFFFF" w:themeColor="background1"/>
              <w:bottom w:val="single" w:sz="4" w:space="0" w:color="FFFFFF" w:themeColor="background1"/>
            </w:tcBorders>
            <w:shd w:val="clear" w:color="auto" w:fill="D5DCE4" w:themeFill="text2" w:themeFillTint="33"/>
          </w:tcPr>
          <w:p w14:paraId="7E70F446"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4B" w14:textId="77777777" w:rsidTr="00D46937">
        <w:tblPrEx>
          <w:tblBorders>
            <w:insideH w:val="single" w:sz="4" w:space="0" w:color="auto"/>
          </w:tblBorders>
          <w:shd w:val="clear" w:color="auto" w:fill="auto"/>
        </w:tblPrEx>
        <w:tc>
          <w:tcPr>
            <w:tcW w:w="1101" w:type="dxa"/>
            <w:tcBorders>
              <w:top w:val="single" w:sz="4" w:space="0" w:color="FFFFFF" w:themeColor="background1"/>
              <w:bottom w:val="single" w:sz="4" w:space="0" w:color="FFFFFF" w:themeColor="background1"/>
            </w:tcBorders>
            <w:shd w:val="clear" w:color="auto" w:fill="D5DCE4" w:themeFill="text2" w:themeFillTint="33"/>
          </w:tcPr>
          <w:p w14:paraId="7E70F448"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tcBorders>
              <w:top w:val="single" w:sz="4" w:space="0" w:color="FFFFFF" w:themeColor="background1"/>
              <w:bottom w:val="single" w:sz="4" w:space="0" w:color="FFFFFF" w:themeColor="background1"/>
            </w:tcBorders>
            <w:shd w:val="clear" w:color="auto" w:fill="D5DCE4" w:themeFill="text2" w:themeFillTint="33"/>
          </w:tcPr>
          <w:p w14:paraId="7E70F449" w14:textId="77777777" w:rsidR="00216186" w:rsidRPr="00397F8A" w:rsidRDefault="00216186" w:rsidP="00DD794A">
            <w:pPr>
              <w:jc w:val="center"/>
              <w:rPr>
                <w:rFonts w:ascii="Times New Roman" w:hAnsi="Times New Roman" w:cs="Times New Roman"/>
                <w:sz w:val="20"/>
                <w:szCs w:val="20"/>
              </w:rPr>
            </w:pPr>
          </w:p>
        </w:tc>
        <w:tc>
          <w:tcPr>
            <w:tcW w:w="4050" w:type="dxa"/>
            <w:tcBorders>
              <w:top w:val="single" w:sz="4" w:space="0" w:color="FFFFFF" w:themeColor="background1"/>
              <w:bottom w:val="single" w:sz="4" w:space="0" w:color="FFFFFF" w:themeColor="background1"/>
            </w:tcBorders>
            <w:shd w:val="clear" w:color="auto" w:fill="D5DCE4" w:themeFill="text2" w:themeFillTint="33"/>
          </w:tcPr>
          <w:p w14:paraId="7E70F44A"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0.425</w:t>
            </w:r>
          </w:p>
        </w:tc>
      </w:tr>
      <w:tr w:rsidR="00216186" w:rsidRPr="00AB0274" w14:paraId="7E70F44F" w14:textId="77777777" w:rsidTr="00D46937">
        <w:tblPrEx>
          <w:tblBorders>
            <w:insideH w:val="single" w:sz="4" w:space="0" w:color="auto"/>
          </w:tblBorders>
          <w:shd w:val="clear" w:color="auto" w:fill="auto"/>
        </w:tblPrEx>
        <w:tc>
          <w:tcPr>
            <w:tcW w:w="1101" w:type="dxa"/>
            <w:tcBorders>
              <w:top w:val="single" w:sz="4" w:space="0" w:color="FFFFFF" w:themeColor="background1"/>
              <w:bottom w:val="single" w:sz="4" w:space="0" w:color="FFFFFF" w:themeColor="background1"/>
            </w:tcBorders>
            <w:shd w:val="clear" w:color="auto" w:fill="D5DCE4" w:themeFill="text2" w:themeFillTint="33"/>
          </w:tcPr>
          <w:p w14:paraId="7E70F44C"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tcBorders>
              <w:top w:val="single" w:sz="4" w:space="0" w:color="FFFFFF" w:themeColor="background1"/>
              <w:bottom w:val="single" w:sz="4" w:space="0" w:color="FFFFFF" w:themeColor="background1"/>
            </w:tcBorders>
            <w:shd w:val="clear" w:color="auto" w:fill="D5DCE4" w:themeFill="text2" w:themeFillTint="33"/>
          </w:tcPr>
          <w:p w14:paraId="7E70F44D"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0.410</w:t>
            </w:r>
          </w:p>
        </w:tc>
        <w:tc>
          <w:tcPr>
            <w:tcW w:w="4050" w:type="dxa"/>
            <w:tcBorders>
              <w:top w:val="single" w:sz="4" w:space="0" w:color="FFFFFF" w:themeColor="background1"/>
              <w:bottom w:val="single" w:sz="4" w:space="0" w:color="FFFFFF" w:themeColor="background1"/>
            </w:tcBorders>
            <w:shd w:val="clear" w:color="auto" w:fill="D5DCE4" w:themeFill="text2" w:themeFillTint="33"/>
          </w:tcPr>
          <w:p w14:paraId="7E70F44E" w14:textId="77777777" w:rsidR="00216186" w:rsidRPr="00397F8A" w:rsidRDefault="00216186" w:rsidP="00DD794A">
            <w:pPr>
              <w:jc w:val="center"/>
              <w:rPr>
                <w:rFonts w:ascii="Times New Roman" w:hAnsi="Times New Roman" w:cs="Times New Roman"/>
                <w:sz w:val="20"/>
                <w:szCs w:val="20"/>
              </w:rPr>
            </w:pPr>
          </w:p>
        </w:tc>
      </w:tr>
      <w:tr w:rsidR="00216186" w:rsidRPr="00AB0274" w14:paraId="7E70F453" w14:textId="77777777" w:rsidTr="00D46937">
        <w:tblPrEx>
          <w:tblBorders>
            <w:insideH w:val="single" w:sz="4" w:space="0" w:color="auto"/>
          </w:tblBorders>
          <w:shd w:val="clear" w:color="auto" w:fill="auto"/>
        </w:tblPrEx>
        <w:tc>
          <w:tcPr>
            <w:tcW w:w="1101" w:type="dxa"/>
            <w:tcBorders>
              <w:top w:val="single" w:sz="4" w:space="0" w:color="FFFFFF" w:themeColor="background1"/>
              <w:bottom w:val="single" w:sz="4" w:space="0" w:color="FFFFFF" w:themeColor="background1"/>
            </w:tcBorders>
            <w:shd w:val="clear" w:color="auto" w:fill="D5DCE4" w:themeFill="text2" w:themeFillTint="33"/>
          </w:tcPr>
          <w:p w14:paraId="7E70F450"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tcBorders>
              <w:top w:val="single" w:sz="4" w:space="0" w:color="FFFFFF" w:themeColor="background1"/>
              <w:bottom w:val="single" w:sz="4" w:space="0" w:color="FFFFFF" w:themeColor="background1"/>
            </w:tcBorders>
            <w:shd w:val="clear" w:color="auto" w:fill="D5DCE4" w:themeFill="text2" w:themeFillTint="33"/>
          </w:tcPr>
          <w:p w14:paraId="7E70F451" w14:textId="77777777" w:rsidR="00216186" w:rsidRPr="00397F8A" w:rsidRDefault="00216186" w:rsidP="00DD794A">
            <w:pPr>
              <w:jc w:val="center"/>
              <w:rPr>
                <w:rFonts w:ascii="Times New Roman" w:hAnsi="Times New Roman" w:cs="Times New Roman"/>
                <w:sz w:val="20"/>
                <w:szCs w:val="20"/>
              </w:rPr>
            </w:pPr>
          </w:p>
        </w:tc>
        <w:tc>
          <w:tcPr>
            <w:tcW w:w="4050" w:type="dxa"/>
            <w:tcBorders>
              <w:top w:val="single" w:sz="4" w:space="0" w:color="FFFFFF" w:themeColor="background1"/>
              <w:bottom w:val="single" w:sz="4" w:space="0" w:color="FFFFFF" w:themeColor="background1"/>
            </w:tcBorders>
            <w:shd w:val="clear" w:color="auto" w:fill="D5DCE4" w:themeFill="text2" w:themeFillTint="33"/>
          </w:tcPr>
          <w:p w14:paraId="7E70F452"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0.532</w:t>
            </w:r>
          </w:p>
        </w:tc>
      </w:tr>
      <w:tr w:rsidR="00216186" w:rsidRPr="00AB0274" w14:paraId="7E70F457" w14:textId="77777777" w:rsidTr="00D46937">
        <w:tblPrEx>
          <w:tblBorders>
            <w:insideH w:val="single" w:sz="4" w:space="0" w:color="auto"/>
          </w:tblBorders>
          <w:shd w:val="clear" w:color="auto" w:fill="auto"/>
        </w:tblPrEx>
        <w:tc>
          <w:tcPr>
            <w:tcW w:w="1101" w:type="dxa"/>
            <w:tcBorders>
              <w:top w:val="single" w:sz="4" w:space="0" w:color="FFFFFF" w:themeColor="background1"/>
              <w:bottom w:val="single" w:sz="4" w:space="0" w:color="FFFFFF" w:themeColor="background1"/>
            </w:tcBorders>
            <w:shd w:val="clear" w:color="auto" w:fill="D5DCE4" w:themeFill="text2" w:themeFillTint="33"/>
          </w:tcPr>
          <w:p w14:paraId="7E70F454"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tcBorders>
              <w:top w:val="single" w:sz="4" w:space="0" w:color="FFFFFF" w:themeColor="background1"/>
              <w:bottom w:val="single" w:sz="4" w:space="0" w:color="FFFFFF" w:themeColor="background1"/>
            </w:tcBorders>
            <w:shd w:val="clear" w:color="auto" w:fill="D5DCE4" w:themeFill="text2" w:themeFillTint="33"/>
          </w:tcPr>
          <w:p w14:paraId="7E70F455" w14:textId="77777777" w:rsidR="00216186" w:rsidRPr="00397F8A" w:rsidRDefault="00216186" w:rsidP="00DD794A">
            <w:pPr>
              <w:jc w:val="center"/>
              <w:rPr>
                <w:rFonts w:ascii="Times New Roman" w:hAnsi="Times New Roman" w:cs="Times New Roman"/>
                <w:sz w:val="20"/>
                <w:szCs w:val="20"/>
              </w:rPr>
            </w:pPr>
          </w:p>
        </w:tc>
        <w:tc>
          <w:tcPr>
            <w:tcW w:w="4050" w:type="dxa"/>
            <w:tcBorders>
              <w:top w:val="single" w:sz="4" w:space="0" w:color="FFFFFF" w:themeColor="background1"/>
              <w:bottom w:val="single" w:sz="4" w:space="0" w:color="FFFFFF" w:themeColor="background1"/>
            </w:tcBorders>
            <w:shd w:val="clear" w:color="auto" w:fill="D5DCE4" w:themeFill="text2" w:themeFillTint="33"/>
          </w:tcPr>
          <w:p w14:paraId="7E70F456"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0.678</w:t>
            </w:r>
          </w:p>
        </w:tc>
      </w:tr>
      <w:tr w:rsidR="00216186" w:rsidRPr="00AB0274" w14:paraId="7E70F45B" w14:textId="77777777" w:rsidTr="00D46937">
        <w:tblPrEx>
          <w:tblBorders>
            <w:insideH w:val="single" w:sz="4" w:space="0" w:color="auto"/>
          </w:tblBorders>
          <w:shd w:val="clear" w:color="auto" w:fill="auto"/>
        </w:tblPrEx>
        <w:tc>
          <w:tcPr>
            <w:tcW w:w="1101" w:type="dxa"/>
            <w:tcBorders>
              <w:top w:val="single" w:sz="4" w:space="0" w:color="FFFFFF" w:themeColor="background1"/>
              <w:bottom w:val="single" w:sz="4" w:space="0" w:color="FFFFFF" w:themeColor="background1"/>
            </w:tcBorders>
            <w:shd w:val="clear" w:color="auto" w:fill="D5DCE4" w:themeFill="text2" w:themeFillTint="33"/>
          </w:tcPr>
          <w:p w14:paraId="7E70F458"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tcBorders>
              <w:top w:val="single" w:sz="4" w:space="0" w:color="FFFFFF" w:themeColor="background1"/>
              <w:bottom w:val="single" w:sz="4" w:space="0" w:color="FFFFFF" w:themeColor="background1"/>
            </w:tcBorders>
            <w:shd w:val="clear" w:color="auto" w:fill="D5DCE4" w:themeFill="text2" w:themeFillTint="33"/>
          </w:tcPr>
          <w:p w14:paraId="7E70F459" w14:textId="77777777" w:rsidR="00216186" w:rsidRPr="00397F8A" w:rsidRDefault="00216186" w:rsidP="00DD794A">
            <w:pPr>
              <w:jc w:val="center"/>
              <w:rPr>
                <w:rFonts w:ascii="Times New Roman" w:hAnsi="Times New Roman" w:cs="Times New Roman"/>
                <w:sz w:val="20"/>
                <w:szCs w:val="20"/>
              </w:rPr>
            </w:pPr>
          </w:p>
        </w:tc>
        <w:tc>
          <w:tcPr>
            <w:tcW w:w="4050" w:type="dxa"/>
            <w:tcBorders>
              <w:top w:val="single" w:sz="4" w:space="0" w:color="FFFFFF" w:themeColor="background1"/>
              <w:bottom w:val="single" w:sz="4" w:space="0" w:color="FFFFFF" w:themeColor="background1"/>
            </w:tcBorders>
            <w:shd w:val="clear" w:color="auto" w:fill="D5DCE4" w:themeFill="text2" w:themeFillTint="33"/>
          </w:tcPr>
          <w:p w14:paraId="7E70F45A"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0.798</w:t>
            </w:r>
          </w:p>
        </w:tc>
      </w:tr>
      <w:tr w:rsidR="00216186" w:rsidRPr="00AB0274" w14:paraId="7E70F45F" w14:textId="77777777" w:rsidTr="00D46937">
        <w:tblPrEx>
          <w:tblBorders>
            <w:insideH w:val="single" w:sz="4" w:space="0" w:color="auto"/>
          </w:tblBorders>
          <w:shd w:val="clear" w:color="auto" w:fill="auto"/>
        </w:tblPrEx>
        <w:tc>
          <w:tcPr>
            <w:tcW w:w="1101" w:type="dxa"/>
            <w:tcBorders>
              <w:top w:val="single" w:sz="4" w:space="0" w:color="FFFFFF" w:themeColor="background1"/>
              <w:bottom w:val="single" w:sz="4" w:space="0" w:color="FFFFFF" w:themeColor="background1"/>
            </w:tcBorders>
            <w:shd w:val="clear" w:color="auto" w:fill="D5DCE4" w:themeFill="text2" w:themeFillTint="33"/>
          </w:tcPr>
          <w:p w14:paraId="7E70F45C"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tcBorders>
              <w:top w:val="single" w:sz="4" w:space="0" w:color="FFFFFF" w:themeColor="background1"/>
              <w:bottom w:val="single" w:sz="4" w:space="0" w:color="FFFFFF" w:themeColor="background1"/>
            </w:tcBorders>
            <w:shd w:val="clear" w:color="auto" w:fill="D5DCE4" w:themeFill="text2" w:themeFillTint="33"/>
          </w:tcPr>
          <w:p w14:paraId="7E70F45D" w14:textId="77777777" w:rsidR="00216186" w:rsidRPr="00397F8A" w:rsidRDefault="00216186" w:rsidP="00DD794A">
            <w:pPr>
              <w:jc w:val="center"/>
              <w:rPr>
                <w:rFonts w:ascii="Times New Roman" w:hAnsi="Times New Roman" w:cs="Times New Roman"/>
                <w:sz w:val="20"/>
                <w:szCs w:val="20"/>
              </w:rPr>
            </w:pPr>
          </w:p>
        </w:tc>
        <w:tc>
          <w:tcPr>
            <w:tcW w:w="4050" w:type="dxa"/>
            <w:tcBorders>
              <w:top w:val="single" w:sz="4" w:space="0" w:color="FFFFFF" w:themeColor="background1"/>
              <w:bottom w:val="single" w:sz="4" w:space="0" w:color="FFFFFF" w:themeColor="background1"/>
            </w:tcBorders>
            <w:shd w:val="clear" w:color="auto" w:fill="D5DCE4" w:themeFill="text2" w:themeFillTint="33"/>
          </w:tcPr>
          <w:p w14:paraId="7E70F45E"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0.899</w:t>
            </w:r>
          </w:p>
        </w:tc>
      </w:tr>
      <w:tr w:rsidR="00216186" w:rsidRPr="00AB0274" w14:paraId="7E70F463" w14:textId="77777777" w:rsidTr="00D46937">
        <w:tblPrEx>
          <w:tblBorders>
            <w:insideH w:val="single" w:sz="4" w:space="0" w:color="auto"/>
          </w:tblBorders>
          <w:shd w:val="clear" w:color="auto" w:fill="auto"/>
        </w:tblPrEx>
        <w:tc>
          <w:tcPr>
            <w:tcW w:w="1101" w:type="dxa"/>
            <w:tcBorders>
              <w:top w:val="single" w:sz="4" w:space="0" w:color="FFFFFF" w:themeColor="background1"/>
              <w:bottom w:val="single" w:sz="4" w:space="0" w:color="FFFFFF" w:themeColor="background1"/>
            </w:tcBorders>
            <w:shd w:val="clear" w:color="auto" w:fill="D5DCE4" w:themeFill="text2" w:themeFillTint="33"/>
          </w:tcPr>
          <w:p w14:paraId="7E70F460"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tcBorders>
              <w:top w:val="single" w:sz="4" w:space="0" w:color="FFFFFF" w:themeColor="background1"/>
              <w:bottom w:val="single" w:sz="4" w:space="0" w:color="FFFFFF" w:themeColor="background1"/>
            </w:tcBorders>
            <w:shd w:val="clear" w:color="auto" w:fill="D5DCE4" w:themeFill="text2" w:themeFillTint="33"/>
          </w:tcPr>
          <w:p w14:paraId="7E70F461" w14:textId="77777777" w:rsidR="00216186" w:rsidRPr="00397F8A" w:rsidRDefault="00216186" w:rsidP="00DD794A">
            <w:pPr>
              <w:jc w:val="center"/>
              <w:rPr>
                <w:rFonts w:ascii="Times New Roman" w:hAnsi="Times New Roman" w:cs="Times New Roman"/>
                <w:sz w:val="20"/>
                <w:szCs w:val="20"/>
              </w:rPr>
            </w:pPr>
          </w:p>
        </w:tc>
        <w:tc>
          <w:tcPr>
            <w:tcW w:w="4050" w:type="dxa"/>
            <w:tcBorders>
              <w:top w:val="single" w:sz="4" w:space="0" w:color="FFFFFF" w:themeColor="background1"/>
              <w:bottom w:val="single" w:sz="4" w:space="0" w:color="FFFFFF" w:themeColor="background1"/>
            </w:tcBorders>
            <w:shd w:val="clear" w:color="auto" w:fill="D5DCE4" w:themeFill="text2" w:themeFillTint="33"/>
          </w:tcPr>
          <w:p w14:paraId="7E70F462"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0.857</w:t>
            </w:r>
          </w:p>
        </w:tc>
      </w:tr>
      <w:tr w:rsidR="00216186" w:rsidRPr="00AB0274" w14:paraId="7E70F467" w14:textId="77777777" w:rsidTr="00D46937">
        <w:tblPrEx>
          <w:tblBorders>
            <w:insideH w:val="single" w:sz="4" w:space="0" w:color="auto"/>
          </w:tblBorders>
          <w:shd w:val="clear" w:color="auto" w:fill="auto"/>
        </w:tblPrEx>
        <w:tc>
          <w:tcPr>
            <w:tcW w:w="1101" w:type="dxa"/>
            <w:tcBorders>
              <w:top w:val="single" w:sz="4" w:space="0" w:color="FFFFFF" w:themeColor="background1"/>
              <w:bottom w:val="single" w:sz="4" w:space="0" w:color="FFFFFF" w:themeColor="background1"/>
            </w:tcBorders>
            <w:shd w:val="clear" w:color="auto" w:fill="D5DCE4" w:themeFill="text2" w:themeFillTint="33"/>
          </w:tcPr>
          <w:p w14:paraId="7E70F464"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tcBorders>
              <w:top w:val="single" w:sz="4" w:space="0" w:color="FFFFFF" w:themeColor="background1"/>
              <w:bottom w:val="single" w:sz="4" w:space="0" w:color="FFFFFF" w:themeColor="background1"/>
            </w:tcBorders>
            <w:shd w:val="clear" w:color="auto" w:fill="D5DCE4" w:themeFill="text2" w:themeFillTint="33"/>
          </w:tcPr>
          <w:p w14:paraId="7E70F465" w14:textId="77777777" w:rsidR="00216186" w:rsidRPr="00397F8A" w:rsidRDefault="00216186" w:rsidP="00DD794A">
            <w:pPr>
              <w:jc w:val="center"/>
              <w:rPr>
                <w:rFonts w:ascii="Times New Roman" w:hAnsi="Times New Roman" w:cs="Times New Roman"/>
                <w:sz w:val="20"/>
                <w:szCs w:val="20"/>
              </w:rPr>
            </w:pPr>
          </w:p>
        </w:tc>
        <w:tc>
          <w:tcPr>
            <w:tcW w:w="4050" w:type="dxa"/>
            <w:tcBorders>
              <w:top w:val="single" w:sz="4" w:space="0" w:color="FFFFFF" w:themeColor="background1"/>
              <w:bottom w:val="single" w:sz="4" w:space="0" w:color="FFFFFF" w:themeColor="background1"/>
            </w:tcBorders>
            <w:shd w:val="clear" w:color="auto" w:fill="D5DCE4" w:themeFill="text2" w:themeFillTint="33"/>
          </w:tcPr>
          <w:p w14:paraId="7E70F466"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0.636</w:t>
            </w:r>
          </w:p>
        </w:tc>
      </w:tr>
      <w:tr w:rsidR="00216186" w:rsidRPr="00AB0274" w14:paraId="7E70F46B" w14:textId="77777777" w:rsidTr="00D46937">
        <w:tblPrEx>
          <w:tblBorders>
            <w:insideH w:val="single" w:sz="4" w:space="0" w:color="auto"/>
          </w:tblBorders>
          <w:shd w:val="clear" w:color="auto" w:fill="auto"/>
        </w:tblPrEx>
        <w:tc>
          <w:tcPr>
            <w:tcW w:w="1101" w:type="dxa"/>
            <w:tcBorders>
              <w:top w:val="single" w:sz="4" w:space="0" w:color="FFFFFF" w:themeColor="background1"/>
              <w:bottom w:val="single" w:sz="4" w:space="0" w:color="FFFFFF" w:themeColor="background1"/>
            </w:tcBorders>
            <w:shd w:val="clear" w:color="auto" w:fill="D5DCE4" w:themeFill="text2" w:themeFillTint="33"/>
          </w:tcPr>
          <w:p w14:paraId="7E70F468"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tcBorders>
              <w:top w:val="single" w:sz="4" w:space="0" w:color="FFFFFF" w:themeColor="background1"/>
              <w:bottom w:val="single" w:sz="4" w:space="0" w:color="FFFFFF" w:themeColor="background1"/>
            </w:tcBorders>
            <w:shd w:val="clear" w:color="auto" w:fill="D5DCE4" w:themeFill="text2" w:themeFillTint="33"/>
          </w:tcPr>
          <w:p w14:paraId="7E70F469" w14:textId="77777777" w:rsidR="00216186" w:rsidRPr="00397F8A" w:rsidRDefault="00216186" w:rsidP="00DD794A">
            <w:pPr>
              <w:jc w:val="center"/>
              <w:rPr>
                <w:rFonts w:ascii="Times New Roman" w:hAnsi="Times New Roman" w:cs="Times New Roman"/>
                <w:sz w:val="20"/>
                <w:szCs w:val="20"/>
              </w:rPr>
            </w:pPr>
          </w:p>
        </w:tc>
        <w:tc>
          <w:tcPr>
            <w:tcW w:w="4050" w:type="dxa"/>
            <w:tcBorders>
              <w:top w:val="single" w:sz="4" w:space="0" w:color="FFFFFF" w:themeColor="background1"/>
              <w:bottom w:val="single" w:sz="4" w:space="0" w:color="FFFFFF" w:themeColor="background1"/>
            </w:tcBorders>
            <w:shd w:val="clear" w:color="auto" w:fill="D5DCE4" w:themeFill="text2" w:themeFillTint="33"/>
          </w:tcPr>
          <w:p w14:paraId="7E70F46A"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0.690</w:t>
            </w:r>
          </w:p>
        </w:tc>
      </w:tr>
      <w:tr w:rsidR="00216186" w:rsidRPr="00AB0274" w14:paraId="7E70F46F" w14:textId="77777777" w:rsidTr="00D46937">
        <w:tblPrEx>
          <w:tblBorders>
            <w:insideH w:val="single" w:sz="4" w:space="0" w:color="auto"/>
          </w:tblBorders>
          <w:shd w:val="clear" w:color="auto" w:fill="auto"/>
        </w:tblPrEx>
        <w:tc>
          <w:tcPr>
            <w:tcW w:w="1101" w:type="dxa"/>
            <w:tcBorders>
              <w:top w:val="single" w:sz="4" w:space="0" w:color="FFFFFF" w:themeColor="background1"/>
            </w:tcBorders>
            <w:shd w:val="clear" w:color="auto" w:fill="D5DCE4" w:themeFill="text2" w:themeFillTint="33"/>
          </w:tcPr>
          <w:p w14:paraId="7E70F46C" w14:textId="77777777" w:rsidR="00216186" w:rsidRPr="00397F8A" w:rsidRDefault="00216186" w:rsidP="00DD794A">
            <w:pPr>
              <w:pStyle w:val="Prrafodelista"/>
              <w:numPr>
                <w:ilvl w:val="0"/>
                <w:numId w:val="2"/>
              </w:numPr>
              <w:spacing w:after="0" w:line="240" w:lineRule="auto"/>
              <w:jc w:val="center"/>
              <w:rPr>
                <w:rFonts w:ascii="Times New Roman" w:hAnsi="Times New Roman"/>
                <w:sz w:val="20"/>
                <w:szCs w:val="20"/>
              </w:rPr>
            </w:pPr>
          </w:p>
        </w:tc>
        <w:tc>
          <w:tcPr>
            <w:tcW w:w="3827" w:type="dxa"/>
            <w:tcBorders>
              <w:top w:val="single" w:sz="4" w:space="0" w:color="FFFFFF" w:themeColor="background1"/>
            </w:tcBorders>
            <w:shd w:val="clear" w:color="auto" w:fill="D5DCE4" w:themeFill="text2" w:themeFillTint="33"/>
          </w:tcPr>
          <w:p w14:paraId="7E70F46D" w14:textId="77777777" w:rsidR="00216186" w:rsidRPr="00397F8A" w:rsidRDefault="00216186" w:rsidP="00DD794A">
            <w:pPr>
              <w:jc w:val="center"/>
              <w:rPr>
                <w:rFonts w:ascii="Times New Roman" w:hAnsi="Times New Roman" w:cs="Times New Roman"/>
                <w:sz w:val="20"/>
                <w:szCs w:val="20"/>
              </w:rPr>
            </w:pPr>
          </w:p>
        </w:tc>
        <w:tc>
          <w:tcPr>
            <w:tcW w:w="4050" w:type="dxa"/>
            <w:tcBorders>
              <w:top w:val="single" w:sz="4" w:space="0" w:color="FFFFFF" w:themeColor="background1"/>
            </w:tcBorders>
            <w:shd w:val="clear" w:color="auto" w:fill="D5DCE4" w:themeFill="text2" w:themeFillTint="33"/>
          </w:tcPr>
          <w:p w14:paraId="7E70F46E" w14:textId="77777777" w:rsidR="00216186" w:rsidRPr="00397F8A" w:rsidRDefault="00216186" w:rsidP="00DD794A">
            <w:pPr>
              <w:jc w:val="center"/>
              <w:rPr>
                <w:rFonts w:ascii="Times New Roman" w:hAnsi="Times New Roman" w:cs="Times New Roman"/>
                <w:sz w:val="20"/>
                <w:szCs w:val="20"/>
              </w:rPr>
            </w:pPr>
            <w:r w:rsidRPr="00397F8A">
              <w:rPr>
                <w:rFonts w:ascii="Times New Roman" w:hAnsi="Times New Roman" w:cs="Times New Roman"/>
                <w:sz w:val="20"/>
                <w:szCs w:val="20"/>
              </w:rPr>
              <w:t>0.630</w:t>
            </w:r>
          </w:p>
        </w:tc>
      </w:tr>
    </w:tbl>
    <w:p w14:paraId="7E70F470" w14:textId="77777777" w:rsidR="00216186" w:rsidRPr="00397F8A" w:rsidRDefault="00216186" w:rsidP="00DD794A">
      <w:pPr>
        <w:tabs>
          <w:tab w:val="left" w:pos="1980"/>
        </w:tabs>
        <w:spacing w:after="120" w:line="240" w:lineRule="auto"/>
        <w:jc w:val="both"/>
        <w:rPr>
          <w:rFonts w:ascii="Times New Roman" w:hAnsi="Times New Roman" w:cs="Times New Roman"/>
          <w:sz w:val="18"/>
          <w:szCs w:val="18"/>
        </w:rPr>
      </w:pPr>
      <w:r w:rsidRPr="00397F8A">
        <w:rPr>
          <w:rFonts w:ascii="Times New Roman" w:hAnsi="Times New Roman" w:cs="Times New Roman"/>
          <w:sz w:val="18"/>
          <w:szCs w:val="18"/>
        </w:rPr>
        <w:t>Nota: elaboración propia; *valores inferiores a 0.30 han sido omitidos; **rotación oblicua PROMIN. Cálculo llevado a cabo con el programa FACTOR.</w:t>
      </w:r>
    </w:p>
    <w:p w14:paraId="7E70F471" w14:textId="77777777" w:rsidR="00216186" w:rsidRPr="00AB0274" w:rsidRDefault="00216186" w:rsidP="00DD794A">
      <w:pPr>
        <w:spacing w:before="120" w:after="120" w:line="240" w:lineRule="auto"/>
        <w:ind w:firstLine="709"/>
        <w:jc w:val="both"/>
        <w:rPr>
          <w:rFonts w:ascii="Times New Roman" w:hAnsi="Times New Roman" w:cs="Times New Roman"/>
          <w:sz w:val="24"/>
          <w:szCs w:val="24"/>
        </w:rPr>
      </w:pPr>
      <w:r w:rsidRPr="00AB0274">
        <w:rPr>
          <w:rFonts w:ascii="Times New Roman" w:hAnsi="Times New Roman" w:cs="Times New Roman"/>
          <w:sz w:val="24"/>
          <w:szCs w:val="24"/>
        </w:rPr>
        <w:t xml:space="preserve">El primer factor contiene 10 ítems de la competencia </w:t>
      </w:r>
      <w:r w:rsidRPr="00AB0274">
        <w:rPr>
          <w:rFonts w:ascii="Times New Roman" w:hAnsi="Times New Roman" w:cs="Times New Roman"/>
          <w:i/>
          <w:sz w:val="24"/>
          <w:szCs w:val="24"/>
        </w:rPr>
        <w:t>Gestionar el proceso de supervisión</w:t>
      </w:r>
      <w:r w:rsidRPr="00AB0274">
        <w:rPr>
          <w:rFonts w:ascii="Times New Roman" w:hAnsi="Times New Roman" w:cs="Times New Roman"/>
          <w:sz w:val="24"/>
          <w:szCs w:val="24"/>
        </w:rPr>
        <w:t xml:space="preserve">, todos los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(n=5) de la competencia </w:t>
      </w:r>
      <w:r w:rsidRPr="00AB0274">
        <w:rPr>
          <w:rFonts w:ascii="Times New Roman" w:hAnsi="Times New Roman" w:cs="Times New Roman"/>
          <w:i/>
          <w:sz w:val="24"/>
          <w:szCs w:val="24"/>
        </w:rPr>
        <w:t>Dar seguimiento, ajustar y monitorear las acciones desarrolladas</w:t>
      </w:r>
      <w:r w:rsidRPr="00AB0274">
        <w:rPr>
          <w:rFonts w:ascii="Times New Roman" w:hAnsi="Times New Roman" w:cs="Times New Roman"/>
          <w:sz w:val="24"/>
          <w:szCs w:val="24"/>
        </w:rPr>
        <w:t xml:space="preserve"> y tres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de la competencia </w:t>
      </w:r>
      <w:r w:rsidRPr="00AB0274">
        <w:rPr>
          <w:rFonts w:ascii="Times New Roman" w:hAnsi="Times New Roman" w:cs="Times New Roman"/>
          <w:i/>
          <w:sz w:val="24"/>
          <w:szCs w:val="24"/>
        </w:rPr>
        <w:t>Utiliza formas de comunicación adecuadas</w:t>
      </w:r>
      <w:r w:rsidRPr="00AB0274">
        <w:rPr>
          <w:rFonts w:ascii="Times New Roman" w:hAnsi="Times New Roman" w:cs="Times New Roman"/>
          <w:sz w:val="24"/>
          <w:szCs w:val="24"/>
        </w:rPr>
        <w:t xml:space="preserve">; se decidió nombrar a este primer factor </w:t>
      </w:r>
      <w:r w:rsidRPr="00AB0274">
        <w:rPr>
          <w:rFonts w:ascii="Times New Roman" w:hAnsi="Times New Roman" w:cs="Times New Roman"/>
          <w:i/>
          <w:sz w:val="24"/>
          <w:szCs w:val="24"/>
        </w:rPr>
        <w:t>Modelación de la intervención clínica</w:t>
      </w:r>
      <w:r w:rsidRPr="00AB0274">
        <w:rPr>
          <w:rFonts w:ascii="Times New Roman" w:hAnsi="Times New Roman" w:cs="Times New Roman"/>
          <w:sz w:val="24"/>
          <w:szCs w:val="24"/>
        </w:rPr>
        <w:t xml:space="preserve">, debido a que se conjugan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que se concentran en la intervención didáctica directa y es congruente con los hallazgos teóricos sobre los dominios del supervisor clínico en medicina.</w:t>
      </w:r>
    </w:p>
    <w:p w14:paraId="7E70F472" w14:textId="77777777" w:rsidR="00216186" w:rsidRPr="00AB0274" w:rsidRDefault="00216186" w:rsidP="00DD794A">
      <w:pPr>
        <w:spacing w:before="120" w:after="120" w:line="240" w:lineRule="auto"/>
        <w:ind w:firstLine="709"/>
        <w:jc w:val="both"/>
        <w:rPr>
          <w:rFonts w:ascii="Times New Roman" w:hAnsi="Times New Roman" w:cs="Times New Roman"/>
          <w:sz w:val="24"/>
          <w:szCs w:val="24"/>
        </w:rPr>
      </w:pPr>
      <w:r w:rsidRPr="00AB0274">
        <w:rPr>
          <w:rFonts w:ascii="Times New Roman" w:hAnsi="Times New Roman" w:cs="Times New Roman"/>
          <w:sz w:val="24"/>
          <w:szCs w:val="24"/>
        </w:rPr>
        <w:lastRenderedPageBreak/>
        <w:t xml:space="preserve">El segundo factor integra todos los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(n=5) de la competencia </w:t>
      </w:r>
      <w:r w:rsidRPr="00AB0274">
        <w:rPr>
          <w:rFonts w:ascii="Times New Roman" w:hAnsi="Times New Roman" w:cs="Times New Roman"/>
          <w:i/>
          <w:sz w:val="24"/>
          <w:szCs w:val="24"/>
        </w:rPr>
        <w:t>planear el programa de supervisión</w:t>
      </w:r>
      <w:r w:rsidRPr="00AB0274">
        <w:rPr>
          <w:rFonts w:ascii="Times New Roman" w:hAnsi="Times New Roman" w:cs="Times New Roman"/>
          <w:sz w:val="24"/>
          <w:szCs w:val="24"/>
        </w:rPr>
        <w:t xml:space="preserve">, dos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de la competencia </w:t>
      </w:r>
      <w:r w:rsidRPr="00AB0274">
        <w:rPr>
          <w:rFonts w:ascii="Times New Roman" w:hAnsi="Times New Roman" w:cs="Times New Roman"/>
          <w:i/>
          <w:sz w:val="24"/>
          <w:szCs w:val="24"/>
        </w:rPr>
        <w:t>Gestionar el proceso de supervisión</w:t>
      </w:r>
      <w:r w:rsidRPr="00AB0274">
        <w:rPr>
          <w:rFonts w:ascii="Times New Roman" w:hAnsi="Times New Roman" w:cs="Times New Roman"/>
          <w:sz w:val="24"/>
          <w:szCs w:val="24"/>
        </w:rPr>
        <w:t xml:space="preserve">, dos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de la competencia </w:t>
      </w:r>
      <w:r w:rsidRPr="00AB0274">
        <w:rPr>
          <w:rFonts w:ascii="Times New Roman" w:hAnsi="Times New Roman" w:cs="Times New Roman"/>
          <w:i/>
          <w:sz w:val="24"/>
          <w:szCs w:val="24"/>
        </w:rPr>
        <w:t>Utiliza formas de comunicación adecuadas</w:t>
      </w:r>
      <w:r w:rsidRPr="00AB0274">
        <w:rPr>
          <w:rFonts w:ascii="Times New Roman" w:hAnsi="Times New Roman" w:cs="Times New Roman"/>
          <w:sz w:val="24"/>
          <w:szCs w:val="24"/>
        </w:rPr>
        <w:t xml:space="preserve">, y todos los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(n=6) de la competencia </w:t>
      </w:r>
      <w:r w:rsidRPr="00AB0274">
        <w:rPr>
          <w:rFonts w:ascii="Times New Roman" w:hAnsi="Times New Roman" w:cs="Times New Roman"/>
          <w:i/>
          <w:sz w:val="24"/>
          <w:szCs w:val="24"/>
        </w:rPr>
        <w:t>Valora los procesos de supervisión individual y grupal.</w:t>
      </w:r>
      <w:r w:rsidRPr="00AB0274">
        <w:rPr>
          <w:rFonts w:ascii="Times New Roman" w:hAnsi="Times New Roman" w:cs="Times New Roman"/>
          <w:sz w:val="24"/>
          <w:szCs w:val="24"/>
        </w:rPr>
        <w:t xml:space="preserve"> Con base en esta información, se decidió nombrar </w:t>
      </w:r>
      <w:r w:rsidRPr="00AB0274">
        <w:rPr>
          <w:rFonts w:ascii="Times New Roman" w:hAnsi="Times New Roman" w:cs="Times New Roman"/>
          <w:i/>
          <w:sz w:val="24"/>
          <w:szCs w:val="24"/>
        </w:rPr>
        <w:t>Planeación y evaluación de la supervisión</w:t>
      </w:r>
      <w:r w:rsidRPr="00AB0274">
        <w:rPr>
          <w:rFonts w:ascii="Times New Roman" w:hAnsi="Times New Roman" w:cs="Times New Roman"/>
          <w:sz w:val="24"/>
          <w:szCs w:val="24"/>
        </w:rPr>
        <w:t>.</w:t>
      </w:r>
    </w:p>
    <w:p w14:paraId="7E70F473" w14:textId="77777777" w:rsidR="00030628" w:rsidRPr="00AB0274" w:rsidRDefault="00744FC4" w:rsidP="00DD794A">
      <w:pPr>
        <w:spacing w:before="120" w:after="120" w:line="240" w:lineRule="auto"/>
        <w:ind w:firstLine="709"/>
        <w:jc w:val="both"/>
        <w:rPr>
          <w:rFonts w:ascii="Times New Roman" w:hAnsi="Times New Roman" w:cs="Times New Roman"/>
          <w:b/>
          <w:i/>
          <w:sz w:val="24"/>
          <w:szCs w:val="24"/>
        </w:rPr>
      </w:pPr>
      <w:r w:rsidRPr="00AB0274">
        <w:rPr>
          <w:rFonts w:ascii="Times New Roman" w:hAnsi="Times New Roman" w:cs="Times New Roman"/>
          <w:b/>
          <w:i/>
          <w:sz w:val="24"/>
          <w:szCs w:val="24"/>
        </w:rPr>
        <w:t>Análisis Factorial Confirmatorio</w:t>
      </w:r>
    </w:p>
    <w:p w14:paraId="7E70F474" w14:textId="77777777" w:rsidR="00744FC4" w:rsidRPr="00AB0274" w:rsidRDefault="00744FC4" w:rsidP="00DD794A">
      <w:pPr>
        <w:spacing w:before="120" w:after="120" w:line="240" w:lineRule="auto"/>
        <w:jc w:val="both"/>
        <w:rPr>
          <w:rFonts w:ascii="Times New Roman" w:hAnsi="Times New Roman" w:cs="Times New Roman"/>
          <w:sz w:val="24"/>
          <w:szCs w:val="24"/>
        </w:rPr>
      </w:pPr>
      <w:r w:rsidRPr="00AB0274">
        <w:rPr>
          <w:rFonts w:ascii="Times New Roman" w:hAnsi="Times New Roman" w:cs="Times New Roman"/>
          <w:sz w:val="24"/>
          <w:szCs w:val="24"/>
        </w:rPr>
        <w:tab/>
      </w:r>
      <w:r w:rsidR="00594536">
        <w:rPr>
          <w:rFonts w:ascii="Times New Roman" w:hAnsi="Times New Roman" w:cs="Times New Roman"/>
          <w:sz w:val="24"/>
          <w:szCs w:val="24"/>
        </w:rPr>
        <w:t>Partiendo de la estructura de dos factores que resultó del AFE, e</w:t>
      </w:r>
      <w:r w:rsidRPr="00AB0274">
        <w:rPr>
          <w:rFonts w:ascii="Times New Roman" w:hAnsi="Times New Roman" w:cs="Times New Roman"/>
          <w:sz w:val="24"/>
          <w:szCs w:val="24"/>
        </w:rPr>
        <w:t>l modelo arrojó valo</w:t>
      </w:r>
      <w:r w:rsidR="00BA11E0" w:rsidRPr="00AB0274">
        <w:rPr>
          <w:rFonts w:ascii="Times New Roman" w:hAnsi="Times New Roman" w:cs="Times New Roman"/>
          <w:sz w:val="24"/>
          <w:szCs w:val="24"/>
        </w:rPr>
        <w:t xml:space="preserve">res insatisfactorios </w:t>
      </w:r>
      <w:r w:rsidRPr="00AB0274">
        <w:rPr>
          <w:rFonts w:ascii="Times New Roman" w:hAnsi="Times New Roman" w:cs="Times New Roman"/>
          <w:sz w:val="24"/>
          <w:szCs w:val="24"/>
        </w:rPr>
        <w:t>en los índices de bondad de ajuste calculados, por lo cual se decidió re-especificar el modelo para llevar a cabo un segundo análisis.</w:t>
      </w:r>
      <w:r w:rsidR="00BA11E0" w:rsidRPr="00AB0274">
        <w:rPr>
          <w:rFonts w:ascii="Times New Roman" w:hAnsi="Times New Roman" w:cs="Times New Roman"/>
          <w:sz w:val="24"/>
          <w:szCs w:val="24"/>
        </w:rPr>
        <w:t xml:space="preserve"> Los resultados del primer cálculo arrojaron la recomendación de modificar las covarianzas de los errores de las variables observadas (1-2, 3-5, 5-24, 7-8, 11-13, 13-18, 23-24, 29-30, 30-31, 31-32-33, 33-34).</w:t>
      </w:r>
    </w:p>
    <w:p w14:paraId="7E70F475" w14:textId="77777777" w:rsidR="00812D7A" w:rsidRPr="00AB0274" w:rsidRDefault="00812D7A" w:rsidP="00DD794A">
      <w:pPr>
        <w:spacing w:before="120" w:after="120" w:line="240" w:lineRule="auto"/>
        <w:ind w:firstLine="708"/>
        <w:jc w:val="both"/>
        <w:rPr>
          <w:rFonts w:ascii="Times New Roman" w:hAnsi="Times New Roman" w:cs="Times New Roman"/>
          <w:sz w:val="24"/>
          <w:szCs w:val="24"/>
        </w:rPr>
      </w:pPr>
      <w:r w:rsidRPr="00AB0274">
        <w:rPr>
          <w:rFonts w:ascii="Times New Roman" w:hAnsi="Times New Roman" w:cs="Times New Roman"/>
          <w:sz w:val="24"/>
          <w:szCs w:val="24"/>
        </w:rPr>
        <w:t xml:space="preserve">Con base en el modelo re-especificado, se eliminaron los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2, 5, 7, 13, 23, 30, 31, 32, 33 y 34. Una vez eliminados los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que </w:t>
      </w:r>
      <w:proofErr w:type="spellStart"/>
      <w:r w:rsidRPr="00AB0274">
        <w:rPr>
          <w:rFonts w:ascii="Times New Roman" w:hAnsi="Times New Roman" w:cs="Times New Roman"/>
          <w:sz w:val="24"/>
          <w:szCs w:val="24"/>
        </w:rPr>
        <w:t>co</w:t>
      </w:r>
      <w:proofErr w:type="spellEnd"/>
      <w:r w:rsidRPr="00AB0274">
        <w:rPr>
          <w:rFonts w:ascii="Times New Roman" w:hAnsi="Times New Roman" w:cs="Times New Roman"/>
          <w:sz w:val="24"/>
          <w:szCs w:val="24"/>
        </w:rPr>
        <w:t>-variaban en sus errores, se determinaron los índices de bondad de ajuste. En la tabla 10 se presenta que todos los índices están en el rango de los valores aceptables. Destacan los valores de CFI (0.932) y NNFI (0.917); el RMSEA está en el límite de lo aceptable (0.0532).</w:t>
      </w:r>
    </w:p>
    <w:p w14:paraId="7E70F476" w14:textId="77777777" w:rsidR="00812D7A" w:rsidRPr="00DD794A" w:rsidRDefault="00812D7A" w:rsidP="00DD794A">
      <w:pPr>
        <w:spacing w:before="120" w:after="0" w:line="240" w:lineRule="auto"/>
        <w:jc w:val="both"/>
        <w:rPr>
          <w:rFonts w:ascii="Times New Roman" w:hAnsi="Times New Roman" w:cs="Times New Roman"/>
          <w:b/>
          <w:sz w:val="24"/>
          <w:szCs w:val="24"/>
        </w:rPr>
      </w:pPr>
      <w:r w:rsidRPr="00DD794A">
        <w:rPr>
          <w:rFonts w:ascii="Times New Roman" w:hAnsi="Times New Roman" w:cs="Times New Roman"/>
          <w:b/>
          <w:sz w:val="24"/>
          <w:szCs w:val="24"/>
        </w:rPr>
        <w:t>Tabla 10</w:t>
      </w:r>
    </w:p>
    <w:p w14:paraId="7E70F477" w14:textId="35254146" w:rsidR="00812D7A" w:rsidRPr="00DD794A" w:rsidRDefault="00812D7A" w:rsidP="00DD794A">
      <w:pPr>
        <w:spacing w:after="120" w:line="240" w:lineRule="auto"/>
        <w:jc w:val="both"/>
        <w:rPr>
          <w:rFonts w:ascii="Times New Roman" w:hAnsi="Times New Roman" w:cs="Times New Roman"/>
          <w:i/>
          <w:sz w:val="24"/>
          <w:szCs w:val="24"/>
        </w:rPr>
      </w:pPr>
      <w:r w:rsidRPr="00DD794A">
        <w:rPr>
          <w:rFonts w:ascii="Times New Roman" w:hAnsi="Times New Roman" w:cs="Times New Roman"/>
          <w:i/>
          <w:sz w:val="24"/>
          <w:szCs w:val="24"/>
        </w:rPr>
        <w:t>Índices de bondad de ajuste del AFC re-especificado</w:t>
      </w:r>
      <w:r w:rsidR="003B67AC">
        <w:rPr>
          <w:rFonts w:ascii="Times New Roman" w:hAnsi="Times New Roman" w:cs="Times New Roman"/>
          <w:i/>
          <w:sz w:val="24"/>
          <w:szCs w:val="24"/>
        </w:rPr>
        <w:t xml:space="preserve"> (modelo de 24 ítems)</w:t>
      </w:r>
      <w:r w:rsidRPr="00DD794A">
        <w:rPr>
          <w:rFonts w:ascii="Times New Roman" w:hAnsi="Times New Roman" w:cs="Times New Roman"/>
          <w:i/>
          <w:sz w:val="24"/>
          <w:szCs w:val="24"/>
        </w:rPr>
        <w:t>.</w:t>
      </w:r>
    </w:p>
    <w:tbl>
      <w:tblPr>
        <w:tblStyle w:val="Tablaconcuadrcula"/>
        <w:tblW w:w="9046" w:type="dxa"/>
        <w:tblBorders>
          <w:left w:val="none" w:sz="0" w:space="0" w:color="auto"/>
          <w:right w:val="none" w:sz="0" w:space="0" w:color="auto"/>
          <w:insideH w:val="single" w:sz="4" w:space="0" w:color="FFFFFF" w:themeColor="background1"/>
          <w:insideV w:val="none" w:sz="0" w:space="0" w:color="auto"/>
        </w:tblBorders>
        <w:shd w:val="clear" w:color="auto" w:fill="D5DCE4" w:themeFill="text2" w:themeFillTint="33"/>
        <w:tblLayout w:type="fixed"/>
        <w:tblLook w:val="04A0" w:firstRow="1" w:lastRow="0" w:firstColumn="1" w:lastColumn="0" w:noHBand="0" w:noVBand="1"/>
      </w:tblPr>
      <w:tblGrid>
        <w:gridCol w:w="817"/>
        <w:gridCol w:w="992"/>
        <w:gridCol w:w="993"/>
        <w:gridCol w:w="1134"/>
        <w:gridCol w:w="283"/>
        <w:gridCol w:w="142"/>
        <w:gridCol w:w="992"/>
        <w:gridCol w:w="851"/>
        <w:gridCol w:w="992"/>
        <w:gridCol w:w="283"/>
        <w:gridCol w:w="1567"/>
      </w:tblGrid>
      <w:tr w:rsidR="00812D7A" w:rsidRPr="00D46937" w14:paraId="7E70F47E" w14:textId="77777777" w:rsidTr="00D46937">
        <w:tc>
          <w:tcPr>
            <w:tcW w:w="817" w:type="dxa"/>
            <w:shd w:val="clear" w:color="auto" w:fill="D5DCE4" w:themeFill="text2" w:themeFillTint="33"/>
          </w:tcPr>
          <w:p w14:paraId="7E70F478" w14:textId="77777777" w:rsidR="00812D7A" w:rsidRPr="00D46937" w:rsidRDefault="00812D7A" w:rsidP="00DD794A">
            <w:pPr>
              <w:tabs>
                <w:tab w:val="left" w:pos="1980"/>
              </w:tabs>
              <w:jc w:val="both"/>
              <w:rPr>
                <w:rFonts w:ascii="Times New Roman" w:hAnsi="Times New Roman" w:cs="Times New Roman"/>
                <w:sz w:val="20"/>
                <w:szCs w:val="20"/>
              </w:rPr>
            </w:pPr>
          </w:p>
        </w:tc>
        <w:tc>
          <w:tcPr>
            <w:tcW w:w="3119" w:type="dxa"/>
            <w:gridSpan w:val="3"/>
            <w:shd w:val="clear" w:color="auto" w:fill="D5DCE4" w:themeFill="text2" w:themeFillTint="33"/>
          </w:tcPr>
          <w:p w14:paraId="7E70F479" w14:textId="77777777" w:rsidR="00812D7A" w:rsidRPr="00D46937" w:rsidRDefault="00812D7A" w:rsidP="00DD794A">
            <w:pPr>
              <w:tabs>
                <w:tab w:val="left" w:pos="1980"/>
              </w:tabs>
              <w:jc w:val="both"/>
              <w:rPr>
                <w:rFonts w:ascii="Times New Roman" w:hAnsi="Times New Roman" w:cs="Times New Roman"/>
                <w:sz w:val="20"/>
                <w:szCs w:val="20"/>
              </w:rPr>
            </w:pPr>
            <w:r w:rsidRPr="00D46937">
              <w:rPr>
                <w:rFonts w:ascii="Times New Roman" w:hAnsi="Times New Roman" w:cs="Times New Roman"/>
                <w:sz w:val="20"/>
                <w:szCs w:val="20"/>
              </w:rPr>
              <w:t>Ajuste absoluto</w:t>
            </w:r>
          </w:p>
        </w:tc>
        <w:tc>
          <w:tcPr>
            <w:tcW w:w="425" w:type="dxa"/>
            <w:gridSpan w:val="2"/>
            <w:shd w:val="clear" w:color="auto" w:fill="D5DCE4" w:themeFill="text2" w:themeFillTint="33"/>
          </w:tcPr>
          <w:p w14:paraId="7E70F47A" w14:textId="77777777" w:rsidR="00812D7A" w:rsidRPr="00D46937" w:rsidRDefault="00812D7A" w:rsidP="00DD794A">
            <w:pPr>
              <w:tabs>
                <w:tab w:val="left" w:pos="1980"/>
              </w:tabs>
              <w:jc w:val="both"/>
              <w:rPr>
                <w:rFonts w:ascii="Times New Roman" w:hAnsi="Times New Roman" w:cs="Times New Roman"/>
                <w:sz w:val="20"/>
                <w:szCs w:val="20"/>
              </w:rPr>
            </w:pPr>
          </w:p>
        </w:tc>
        <w:tc>
          <w:tcPr>
            <w:tcW w:w="2835" w:type="dxa"/>
            <w:gridSpan w:val="3"/>
            <w:shd w:val="clear" w:color="auto" w:fill="D5DCE4" w:themeFill="text2" w:themeFillTint="33"/>
          </w:tcPr>
          <w:p w14:paraId="7E70F47B" w14:textId="77777777" w:rsidR="00812D7A" w:rsidRPr="00D46937" w:rsidRDefault="00812D7A" w:rsidP="00DD794A">
            <w:pPr>
              <w:tabs>
                <w:tab w:val="left" w:pos="1980"/>
              </w:tabs>
              <w:jc w:val="both"/>
              <w:rPr>
                <w:rFonts w:ascii="Times New Roman" w:hAnsi="Times New Roman" w:cs="Times New Roman"/>
                <w:sz w:val="20"/>
                <w:szCs w:val="20"/>
              </w:rPr>
            </w:pPr>
            <w:r w:rsidRPr="00D46937">
              <w:rPr>
                <w:rFonts w:ascii="Times New Roman" w:hAnsi="Times New Roman" w:cs="Times New Roman"/>
                <w:sz w:val="20"/>
                <w:szCs w:val="20"/>
              </w:rPr>
              <w:t>Ajuste Incremental</w:t>
            </w:r>
          </w:p>
        </w:tc>
        <w:tc>
          <w:tcPr>
            <w:tcW w:w="283" w:type="dxa"/>
            <w:shd w:val="clear" w:color="auto" w:fill="D5DCE4" w:themeFill="text2" w:themeFillTint="33"/>
          </w:tcPr>
          <w:p w14:paraId="7E70F47C" w14:textId="77777777" w:rsidR="00812D7A" w:rsidRPr="00D46937" w:rsidRDefault="00812D7A" w:rsidP="00DD794A">
            <w:pPr>
              <w:tabs>
                <w:tab w:val="left" w:pos="1980"/>
              </w:tabs>
              <w:jc w:val="both"/>
              <w:rPr>
                <w:rFonts w:ascii="Times New Roman" w:hAnsi="Times New Roman" w:cs="Times New Roman"/>
                <w:sz w:val="20"/>
                <w:szCs w:val="20"/>
              </w:rPr>
            </w:pPr>
          </w:p>
        </w:tc>
        <w:tc>
          <w:tcPr>
            <w:tcW w:w="1567" w:type="dxa"/>
            <w:shd w:val="clear" w:color="auto" w:fill="D5DCE4" w:themeFill="text2" w:themeFillTint="33"/>
          </w:tcPr>
          <w:p w14:paraId="7E70F47D" w14:textId="77777777" w:rsidR="00812D7A" w:rsidRPr="00D46937" w:rsidRDefault="00812D7A" w:rsidP="00DD794A">
            <w:pPr>
              <w:tabs>
                <w:tab w:val="left" w:pos="1980"/>
              </w:tabs>
              <w:jc w:val="both"/>
              <w:rPr>
                <w:rFonts w:ascii="Times New Roman" w:hAnsi="Times New Roman" w:cs="Times New Roman"/>
                <w:sz w:val="20"/>
                <w:szCs w:val="20"/>
              </w:rPr>
            </w:pPr>
            <w:r w:rsidRPr="00D46937">
              <w:rPr>
                <w:rFonts w:ascii="Times New Roman" w:hAnsi="Times New Roman" w:cs="Times New Roman"/>
                <w:sz w:val="20"/>
                <w:szCs w:val="20"/>
              </w:rPr>
              <w:t>Ajuste de parsimonia</w:t>
            </w:r>
          </w:p>
        </w:tc>
      </w:tr>
      <w:tr w:rsidR="00812D7A" w:rsidRPr="00D46937" w14:paraId="7E70F489" w14:textId="77777777" w:rsidTr="00D46937">
        <w:tc>
          <w:tcPr>
            <w:tcW w:w="817" w:type="dxa"/>
            <w:shd w:val="clear" w:color="auto" w:fill="D5DCE4" w:themeFill="text2" w:themeFillTint="33"/>
          </w:tcPr>
          <w:p w14:paraId="7E70F47F" w14:textId="77777777" w:rsidR="00812D7A" w:rsidRPr="00D46937" w:rsidRDefault="00812D7A" w:rsidP="00DD794A">
            <w:pPr>
              <w:tabs>
                <w:tab w:val="left" w:pos="1980"/>
              </w:tabs>
              <w:jc w:val="both"/>
              <w:rPr>
                <w:rFonts w:ascii="Times New Roman" w:hAnsi="Times New Roman" w:cs="Times New Roman"/>
                <w:sz w:val="20"/>
                <w:szCs w:val="20"/>
              </w:rPr>
            </w:pPr>
          </w:p>
        </w:tc>
        <w:tc>
          <w:tcPr>
            <w:tcW w:w="992" w:type="dxa"/>
            <w:shd w:val="clear" w:color="auto" w:fill="D5DCE4" w:themeFill="text2" w:themeFillTint="33"/>
          </w:tcPr>
          <w:p w14:paraId="7E70F480" w14:textId="77777777" w:rsidR="00812D7A" w:rsidRPr="00D46937" w:rsidRDefault="00872D14" w:rsidP="00DD794A">
            <w:pPr>
              <w:tabs>
                <w:tab w:val="left" w:pos="1980"/>
              </w:tabs>
              <w:jc w:val="both"/>
              <w:rPr>
                <w:rFonts w:ascii="Times New Roman" w:hAnsi="Times New Roman" w:cs="Times New Roman"/>
                <w:b/>
                <w:sz w:val="20"/>
                <w:szCs w:val="20"/>
              </w:rPr>
            </w:pPr>
            <m:oMathPara>
              <m:oMath>
                <m:sSup>
                  <m:sSupPr>
                    <m:ctrlPr>
                      <w:rPr>
                        <w:rFonts w:ascii="Cambria Math" w:hAnsi="Cambria Math" w:cs="Times New Roman"/>
                        <w:b/>
                        <w:i/>
                        <w:sz w:val="20"/>
                        <w:szCs w:val="20"/>
                      </w:rPr>
                    </m:ctrlPr>
                  </m:sSupPr>
                  <m:e>
                    <m:r>
                      <m:rPr>
                        <m:sty m:val="bi"/>
                      </m:rPr>
                      <w:rPr>
                        <w:rFonts w:ascii="Cambria Math" w:hAnsi="Cambria Math" w:cs="Times New Roman"/>
                        <w:sz w:val="20"/>
                        <w:szCs w:val="20"/>
                      </w:rPr>
                      <m:t>X</m:t>
                    </m:r>
                  </m:e>
                  <m:sup>
                    <m:r>
                      <m:rPr>
                        <m:sty m:val="bi"/>
                      </m:rPr>
                      <w:rPr>
                        <w:rFonts w:ascii="Cambria Math" w:hAnsi="Cambria Math" w:cs="Times New Roman"/>
                        <w:sz w:val="20"/>
                        <w:szCs w:val="20"/>
                      </w:rPr>
                      <m:t>2</m:t>
                    </m:r>
                  </m:sup>
                </m:sSup>
              </m:oMath>
            </m:oMathPara>
          </w:p>
        </w:tc>
        <w:tc>
          <w:tcPr>
            <w:tcW w:w="993" w:type="dxa"/>
            <w:shd w:val="clear" w:color="auto" w:fill="D5DCE4" w:themeFill="text2" w:themeFillTint="33"/>
          </w:tcPr>
          <w:p w14:paraId="7E70F481" w14:textId="77777777" w:rsidR="00812D7A" w:rsidRPr="00D46937" w:rsidRDefault="00812D7A" w:rsidP="00DD794A">
            <w:pPr>
              <w:tabs>
                <w:tab w:val="left" w:pos="1980"/>
              </w:tabs>
              <w:jc w:val="both"/>
              <w:rPr>
                <w:rFonts w:ascii="Times New Roman" w:hAnsi="Times New Roman" w:cs="Times New Roman"/>
                <w:b/>
                <w:sz w:val="20"/>
                <w:szCs w:val="20"/>
              </w:rPr>
            </w:pPr>
            <w:r w:rsidRPr="00D46937">
              <w:rPr>
                <w:rFonts w:ascii="Times New Roman" w:hAnsi="Times New Roman" w:cs="Times New Roman"/>
                <w:b/>
                <w:sz w:val="20"/>
                <w:szCs w:val="20"/>
              </w:rPr>
              <w:t>GFI</w:t>
            </w:r>
          </w:p>
        </w:tc>
        <w:tc>
          <w:tcPr>
            <w:tcW w:w="1134" w:type="dxa"/>
            <w:shd w:val="clear" w:color="auto" w:fill="D5DCE4" w:themeFill="text2" w:themeFillTint="33"/>
          </w:tcPr>
          <w:p w14:paraId="7E70F482" w14:textId="77777777" w:rsidR="00812D7A" w:rsidRPr="00D46937" w:rsidRDefault="00812D7A" w:rsidP="00DD794A">
            <w:pPr>
              <w:tabs>
                <w:tab w:val="left" w:pos="1980"/>
              </w:tabs>
              <w:jc w:val="both"/>
              <w:rPr>
                <w:rFonts w:ascii="Times New Roman" w:hAnsi="Times New Roman" w:cs="Times New Roman"/>
                <w:b/>
                <w:sz w:val="20"/>
                <w:szCs w:val="20"/>
              </w:rPr>
            </w:pPr>
            <w:r w:rsidRPr="00D46937">
              <w:rPr>
                <w:rFonts w:ascii="Times New Roman" w:hAnsi="Times New Roman" w:cs="Times New Roman"/>
                <w:b/>
                <w:sz w:val="20"/>
                <w:szCs w:val="20"/>
              </w:rPr>
              <w:t>RMSEA</w:t>
            </w:r>
          </w:p>
        </w:tc>
        <w:tc>
          <w:tcPr>
            <w:tcW w:w="283" w:type="dxa"/>
            <w:shd w:val="clear" w:color="auto" w:fill="D5DCE4" w:themeFill="text2" w:themeFillTint="33"/>
          </w:tcPr>
          <w:p w14:paraId="7E70F483" w14:textId="77777777" w:rsidR="00812D7A" w:rsidRPr="00D46937" w:rsidRDefault="00812D7A" w:rsidP="00DD794A">
            <w:pPr>
              <w:tabs>
                <w:tab w:val="left" w:pos="1980"/>
              </w:tabs>
              <w:jc w:val="both"/>
              <w:rPr>
                <w:rFonts w:ascii="Times New Roman" w:hAnsi="Times New Roman" w:cs="Times New Roman"/>
                <w:b/>
                <w:sz w:val="20"/>
                <w:szCs w:val="20"/>
              </w:rPr>
            </w:pPr>
          </w:p>
        </w:tc>
        <w:tc>
          <w:tcPr>
            <w:tcW w:w="1134" w:type="dxa"/>
            <w:gridSpan w:val="2"/>
            <w:shd w:val="clear" w:color="auto" w:fill="D5DCE4" w:themeFill="text2" w:themeFillTint="33"/>
          </w:tcPr>
          <w:p w14:paraId="7E70F484" w14:textId="77777777" w:rsidR="00812D7A" w:rsidRPr="00D46937" w:rsidRDefault="00812D7A" w:rsidP="00DD794A">
            <w:pPr>
              <w:tabs>
                <w:tab w:val="left" w:pos="1980"/>
              </w:tabs>
              <w:jc w:val="both"/>
              <w:rPr>
                <w:rFonts w:ascii="Times New Roman" w:hAnsi="Times New Roman" w:cs="Times New Roman"/>
                <w:b/>
                <w:sz w:val="20"/>
                <w:szCs w:val="20"/>
              </w:rPr>
            </w:pPr>
            <w:r w:rsidRPr="00D46937">
              <w:rPr>
                <w:rFonts w:ascii="Times New Roman" w:hAnsi="Times New Roman" w:cs="Times New Roman"/>
                <w:b/>
                <w:sz w:val="20"/>
                <w:szCs w:val="20"/>
              </w:rPr>
              <w:t>NFI</w:t>
            </w:r>
          </w:p>
        </w:tc>
        <w:tc>
          <w:tcPr>
            <w:tcW w:w="851" w:type="dxa"/>
            <w:shd w:val="clear" w:color="auto" w:fill="D5DCE4" w:themeFill="text2" w:themeFillTint="33"/>
          </w:tcPr>
          <w:p w14:paraId="7E70F485" w14:textId="77777777" w:rsidR="00812D7A" w:rsidRPr="00D46937" w:rsidRDefault="00812D7A" w:rsidP="00DD794A">
            <w:pPr>
              <w:tabs>
                <w:tab w:val="left" w:pos="1980"/>
              </w:tabs>
              <w:jc w:val="both"/>
              <w:rPr>
                <w:rFonts w:ascii="Times New Roman" w:hAnsi="Times New Roman" w:cs="Times New Roman"/>
                <w:b/>
                <w:sz w:val="20"/>
                <w:szCs w:val="20"/>
              </w:rPr>
            </w:pPr>
            <w:r w:rsidRPr="00D46937">
              <w:rPr>
                <w:rFonts w:ascii="Times New Roman" w:hAnsi="Times New Roman" w:cs="Times New Roman"/>
                <w:b/>
                <w:sz w:val="20"/>
                <w:szCs w:val="20"/>
              </w:rPr>
              <w:t>NNFI</w:t>
            </w:r>
          </w:p>
        </w:tc>
        <w:tc>
          <w:tcPr>
            <w:tcW w:w="992" w:type="dxa"/>
            <w:shd w:val="clear" w:color="auto" w:fill="D5DCE4" w:themeFill="text2" w:themeFillTint="33"/>
          </w:tcPr>
          <w:p w14:paraId="7E70F486" w14:textId="77777777" w:rsidR="00812D7A" w:rsidRPr="00D46937" w:rsidRDefault="00812D7A" w:rsidP="00DD794A">
            <w:pPr>
              <w:tabs>
                <w:tab w:val="left" w:pos="1980"/>
              </w:tabs>
              <w:jc w:val="both"/>
              <w:rPr>
                <w:rFonts w:ascii="Times New Roman" w:hAnsi="Times New Roman" w:cs="Times New Roman"/>
                <w:b/>
                <w:sz w:val="20"/>
                <w:szCs w:val="20"/>
              </w:rPr>
            </w:pPr>
            <w:r w:rsidRPr="00D46937">
              <w:rPr>
                <w:rFonts w:ascii="Times New Roman" w:hAnsi="Times New Roman" w:cs="Times New Roman"/>
                <w:b/>
                <w:sz w:val="20"/>
                <w:szCs w:val="20"/>
              </w:rPr>
              <w:t>CFI</w:t>
            </w:r>
          </w:p>
        </w:tc>
        <w:tc>
          <w:tcPr>
            <w:tcW w:w="283" w:type="dxa"/>
            <w:shd w:val="clear" w:color="auto" w:fill="D5DCE4" w:themeFill="text2" w:themeFillTint="33"/>
          </w:tcPr>
          <w:p w14:paraId="7E70F487" w14:textId="77777777" w:rsidR="00812D7A" w:rsidRPr="00D46937" w:rsidRDefault="00812D7A" w:rsidP="00DD794A">
            <w:pPr>
              <w:tabs>
                <w:tab w:val="left" w:pos="1980"/>
              </w:tabs>
              <w:jc w:val="both"/>
              <w:rPr>
                <w:rFonts w:ascii="Times New Roman" w:hAnsi="Times New Roman" w:cs="Times New Roman"/>
                <w:b/>
                <w:sz w:val="20"/>
                <w:szCs w:val="20"/>
              </w:rPr>
            </w:pPr>
          </w:p>
        </w:tc>
        <w:tc>
          <w:tcPr>
            <w:tcW w:w="1567" w:type="dxa"/>
            <w:shd w:val="clear" w:color="auto" w:fill="D5DCE4" w:themeFill="text2" w:themeFillTint="33"/>
          </w:tcPr>
          <w:p w14:paraId="7E70F488" w14:textId="77777777" w:rsidR="00812D7A" w:rsidRPr="00D46937" w:rsidRDefault="00812D7A" w:rsidP="00DD794A">
            <w:pPr>
              <w:tabs>
                <w:tab w:val="left" w:pos="1980"/>
              </w:tabs>
              <w:jc w:val="both"/>
              <w:rPr>
                <w:rFonts w:ascii="Times New Roman" w:hAnsi="Times New Roman" w:cs="Times New Roman"/>
                <w:b/>
                <w:sz w:val="20"/>
                <w:szCs w:val="20"/>
              </w:rPr>
            </w:pPr>
            <w:r w:rsidRPr="00D46937">
              <w:rPr>
                <w:rFonts w:ascii="Times New Roman" w:hAnsi="Times New Roman" w:cs="Times New Roman"/>
                <w:b/>
                <w:sz w:val="20"/>
                <w:szCs w:val="20"/>
              </w:rPr>
              <w:t>PNFI</w:t>
            </w:r>
          </w:p>
        </w:tc>
      </w:tr>
      <w:tr w:rsidR="00812D7A" w:rsidRPr="00D46937" w14:paraId="7E70F496" w14:textId="77777777" w:rsidTr="00D46937">
        <w:tc>
          <w:tcPr>
            <w:tcW w:w="817" w:type="dxa"/>
            <w:shd w:val="clear" w:color="auto" w:fill="D5DCE4" w:themeFill="text2" w:themeFillTint="33"/>
          </w:tcPr>
          <w:p w14:paraId="7E70F48A" w14:textId="77777777" w:rsidR="00812D7A" w:rsidRPr="00D46937" w:rsidRDefault="00812D7A" w:rsidP="00DD794A">
            <w:pPr>
              <w:tabs>
                <w:tab w:val="left" w:pos="1980"/>
              </w:tabs>
              <w:jc w:val="both"/>
              <w:rPr>
                <w:rFonts w:ascii="Times New Roman" w:hAnsi="Times New Roman" w:cs="Times New Roman"/>
                <w:sz w:val="20"/>
                <w:szCs w:val="20"/>
              </w:rPr>
            </w:pPr>
            <w:r w:rsidRPr="00D46937">
              <w:rPr>
                <w:rFonts w:ascii="Times New Roman" w:hAnsi="Times New Roman" w:cs="Times New Roman"/>
                <w:sz w:val="20"/>
                <w:szCs w:val="20"/>
              </w:rPr>
              <w:t>Valor ideal*</w:t>
            </w:r>
          </w:p>
        </w:tc>
        <w:tc>
          <w:tcPr>
            <w:tcW w:w="992" w:type="dxa"/>
            <w:shd w:val="clear" w:color="auto" w:fill="D5DCE4" w:themeFill="text2" w:themeFillTint="33"/>
          </w:tcPr>
          <w:p w14:paraId="7E70F48B" w14:textId="77777777" w:rsidR="00812D7A" w:rsidRPr="00D46937" w:rsidRDefault="00812D7A" w:rsidP="00DD794A">
            <w:pPr>
              <w:jc w:val="both"/>
              <w:rPr>
                <w:rFonts w:ascii="Times New Roman" w:hAnsi="Times New Roman" w:cs="Times New Roman"/>
                <w:sz w:val="20"/>
                <w:szCs w:val="20"/>
              </w:rPr>
            </w:pPr>
            <w:r w:rsidRPr="00D46937">
              <w:rPr>
                <w:rFonts w:ascii="Times New Roman" w:hAnsi="Times New Roman" w:cs="Times New Roman"/>
                <w:sz w:val="20"/>
                <w:szCs w:val="20"/>
              </w:rPr>
              <w:t>p&lt;0.5</w:t>
            </w:r>
          </w:p>
          <w:p w14:paraId="7E70F48C" w14:textId="77777777" w:rsidR="00812D7A" w:rsidRPr="00D46937" w:rsidRDefault="00812D7A" w:rsidP="00DD794A">
            <w:pPr>
              <w:tabs>
                <w:tab w:val="left" w:pos="1980"/>
              </w:tabs>
              <w:jc w:val="both"/>
              <w:rPr>
                <w:rFonts w:ascii="Times New Roman" w:hAnsi="Times New Roman" w:cs="Times New Roman"/>
                <w:sz w:val="20"/>
                <w:szCs w:val="20"/>
              </w:rPr>
            </w:pPr>
          </w:p>
        </w:tc>
        <w:tc>
          <w:tcPr>
            <w:tcW w:w="993" w:type="dxa"/>
            <w:shd w:val="clear" w:color="auto" w:fill="D5DCE4" w:themeFill="text2" w:themeFillTint="33"/>
          </w:tcPr>
          <w:p w14:paraId="7E70F48D" w14:textId="77777777" w:rsidR="00812D7A" w:rsidRPr="00D46937" w:rsidRDefault="00812D7A" w:rsidP="00DD794A">
            <w:pPr>
              <w:tabs>
                <w:tab w:val="left" w:pos="1980"/>
              </w:tabs>
              <w:jc w:val="both"/>
              <w:rPr>
                <w:rFonts w:ascii="Times New Roman" w:hAnsi="Times New Roman" w:cs="Times New Roman"/>
                <w:sz w:val="20"/>
                <w:szCs w:val="20"/>
              </w:rPr>
            </w:pPr>
            <w:r w:rsidRPr="00D46937">
              <w:rPr>
                <w:rFonts w:ascii="Times New Roman" w:hAnsi="Times New Roman" w:cs="Times New Roman"/>
                <w:sz w:val="20"/>
                <w:szCs w:val="20"/>
              </w:rPr>
              <w:t>0.9-1</w:t>
            </w:r>
          </w:p>
        </w:tc>
        <w:tc>
          <w:tcPr>
            <w:tcW w:w="1134" w:type="dxa"/>
            <w:shd w:val="clear" w:color="auto" w:fill="D5DCE4" w:themeFill="text2" w:themeFillTint="33"/>
          </w:tcPr>
          <w:p w14:paraId="7E70F48E" w14:textId="77777777" w:rsidR="00812D7A" w:rsidRPr="00D46937" w:rsidRDefault="00812D7A" w:rsidP="00DD794A">
            <w:pPr>
              <w:jc w:val="both"/>
              <w:rPr>
                <w:rFonts w:ascii="Times New Roman" w:hAnsi="Times New Roman" w:cs="Times New Roman"/>
                <w:sz w:val="20"/>
                <w:szCs w:val="20"/>
              </w:rPr>
            </w:pPr>
            <w:r w:rsidRPr="00D46937">
              <w:rPr>
                <w:rFonts w:ascii="Times New Roman" w:hAnsi="Times New Roman" w:cs="Times New Roman"/>
                <w:sz w:val="20"/>
                <w:szCs w:val="20"/>
              </w:rPr>
              <w:t>X&lt;0.05</w:t>
            </w:r>
          </w:p>
          <w:p w14:paraId="7E70F48F" w14:textId="77777777" w:rsidR="00812D7A" w:rsidRPr="00D46937" w:rsidRDefault="00812D7A" w:rsidP="00DD794A">
            <w:pPr>
              <w:tabs>
                <w:tab w:val="left" w:pos="1980"/>
              </w:tabs>
              <w:jc w:val="both"/>
              <w:rPr>
                <w:rFonts w:ascii="Times New Roman" w:hAnsi="Times New Roman" w:cs="Times New Roman"/>
                <w:sz w:val="20"/>
                <w:szCs w:val="20"/>
              </w:rPr>
            </w:pPr>
          </w:p>
        </w:tc>
        <w:tc>
          <w:tcPr>
            <w:tcW w:w="425" w:type="dxa"/>
            <w:gridSpan w:val="2"/>
            <w:shd w:val="clear" w:color="auto" w:fill="D5DCE4" w:themeFill="text2" w:themeFillTint="33"/>
          </w:tcPr>
          <w:p w14:paraId="7E70F490" w14:textId="77777777" w:rsidR="00812D7A" w:rsidRPr="00D46937" w:rsidRDefault="00812D7A" w:rsidP="00DD794A">
            <w:pPr>
              <w:tabs>
                <w:tab w:val="left" w:pos="1980"/>
              </w:tabs>
              <w:jc w:val="both"/>
              <w:rPr>
                <w:rFonts w:ascii="Times New Roman" w:hAnsi="Times New Roman" w:cs="Times New Roman"/>
                <w:sz w:val="20"/>
                <w:szCs w:val="20"/>
              </w:rPr>
            </w:pPr>
          </w:p>
        </w:tc>
        <w:tc>
          <w:tcPr>
            <w:tcW w:w="992" w:type="dxa"/>
            <w:shd w:val="clear" w:color="auto" w:fill="D5DCE4" w:themeFill="text2" w:themeFillTint="33"/>
          </w:tcPr>
          <w:p w14:paraId="7E70F491" w14:textId="77777777" w:rsidR="00812D7A" w:rsidRPr="00D46937" w:rsidRDefault="00812D7A" w:rsidP="00DD794A">
            <w:pPr>
              <w:tabs>
                <w:tab w:val="left" w:pos="1980"/>
              </w:tabs>
              <w:jc w:val="both"/>
              <w:rPr>
                <w:rFonts w:ascii="Times New Roman" w:hAnsi="Times New Roman" w:cs="Times New Roman"/>
                <w:sz w:val="20"/>
                <w:szCs w:val="20"/>
              </w:rPr>
            </w:pPr>
            <w:r w:rsidRPr="00D46937">
              <w:rPr>
                <w:rFonts w:ascii="Times New Roman" w:hAnsi="Times New Roman" w:cs="Times New Roman"/>
                <w:sz w:val="20"/>
                <w:szCs w:val="20"/>
              </w:rPr>
              <w:t>x&gt;0.9</w:t>
            </w:r>
          </w:p>
        </w:tc>
        <w:tc>
          <w:tcPr>
            <w:tcW w:w="851" w:type="dxa"/>
            <w:shd w:val="clear" w:color="auto" w:fill="D5DCE4" w:themeFill="text2" w:themeFillTint="33"/>
          </w:tcPr>
          <w:p w14:paraId="7E70F492" w14:textId="77777777" w:rsidR="00812D7A" w:rsidRPr="00D46937" w:rsidRDefault="00812D7A" w:rsidP="00DD794A">
            <w:pPr>
              <w:tabs>
                <w:tab w:val="left" w:pos="1980"/>
              </w:tabs>
              <w:ind w:left="-108"/>
              <w:jc w:val="both"/>
              <w:rPr>
                <w:rFonts w:ascii="Times New Roman" w:hAnsi="Times New Roman" w:cs="Times New Roman"/>
                <w:sz w:val="20"/>
                <w:szCs w:val="20"/>
              </w:rPr>
            </w:pPr>
            <w:r w:rsidRPr="00D46937">
              <w:rPr>
                <w:rFonts w:ascii="Times New Roman" w:hAnsi="Times New Roman" w:cs="Times New Roman"/>
                <w:sz w:val="20"/>
                <w:szCs w:val="20"/>
              </w:rPr>
              <w:t>x&gt;0.9</w:t>
            </w:r>
          </w:p>
        </w:tc>
        <w:tc>
          <w:tcPr>
            <w:tcW w:w="992" w:type="dxa"/>
            <w:shd w:val="clear" w:color="auto" w:fill="D5DCE4" w:themeFill="text2" w:themeFillTint="33"/>
          </w:tcPr>
          <w:p w14:paraId="7E70F493" w14:textId="77777777" w:rsidR="00812D7A" w:rsidRPr="00D46937" w:rsidRDefault="00812D7A" w:rsidP="00DD794A">
            <w:pPr>
              <w:tabs>
                <w:tab w:val="left" w:pos="1980"/>
              </w:tabs>
              <w:jc w:val="both"/>
              <w:rPr>
                <w:rFonts w:ascii="Times New Roman" w:hAnsi="Times New Roman" w:cs="Times New Roman"/>
                <w:sz w:val="20"/>
                <w:szCs w:val="20"/>
              </w:rPr>
            </w:pPr>
            <w:r w:rsidRPr="00D46937">
              <w:rPr>
                <w:rFonts w:ascii="Times New Roman" w:hAnsi="Times New Roman" w:cs="Times New Roman"/>
                <w:sz w:val="20"/>
                <w:szCs w:val="20"/>
              </w:rPr>
              <w:t>0-1</w:t>
            </w:r>
          </w:p>
        </w:tc>
        <w:tc>
          <w:tcPr>
            <w:tcW w:w="283" w:type="dxa"/>
            <w:shd w:val="clear" w:color="auto" w:fill="D5DCE4" w:themeFill="text2" w:themeFillTint="33"/>
          </w:tcPr>
          <w:p w14:paraId="7E70F494" w14:textId="77777777" w:rsidR="00812D7A" w:rsidRPr="00D46937" w:rsidRDefault="00812D7A" w:rsidP="00DD794A">
            <w:pPr>
              <w:tabs>
                <w:tab w:val="left" w:pos="1980"/>
              </w:tabs>
              <w:jc w:val="both"/>
              <w:rPr>
                <w:rFonts w:ascii="Times New Roman" w:hAnsi="Times New Roman" w:cs="Times New Roman"/>
                <w:sz w:val="20"/>
                <w:szCs w:val="20"/>
              </w:rPr>
            </w:pPr>
          </w:p>
        </w:tc>
        <w:tc>
          <w:tcPr>
            <w:tcW w:w="1567" w:type="dxa"/>
            <w:shd w:val="clear" w:color="auto" w:fill="D5DCE4" w:themeFill="text2" w:themeFillTint="33"/>
          </w:tcPr>
          <w:p w14:paraId="7E70F495" w14:textId="77777777" w:rsidR="00812D7A" w:rsidRPr="00D46937" w:rsidRDefault="00812D7A" w:rsidP="00DD794A">
            <w:pPr>
              <w:tabs>
                <w:tab w:val="left" w:pos="1980"/>
              </w:tabs>
              <w:jc w:val="both"/>
              <w:rPr>
                <w:rFonts w:ascii="Times New Roman" w:hAnsi="Times New Roman" w:cs="Times New Roman"/>
                <w:sz w:val="20"/>
                <w:szCs w:val="20"/>
              </w:rPr>
            </w:pPr>
            <w:r w:rsidRPr="00D46937">
              <w:rPr>
                <w:rFonts w:ascii="Times New Roman" w:hAnsi="Times New Roman" w:cs="Times New Roman"/>
                <w:sz w:val="20"/>
                <w:szCs w:val="20"/>
              </w:rPr>
              <w:t>Valores elevados</w:t>
            </w:r>
          </w:p>
        </w:tc>
      </w:tr>
      <w:tr w:rsidR="00812D7A" w:rsidRPr="00D46937" w14:paraId="7E70F4A1" w14:textId="77777777" w:rsidTr="00D46937">
        <w:tc>
          <w:tcPr>
            <w:tcW w:w="817" w:type="dxa"/>
            <w:shd w:val="clear" w:color="auto" w:fill="D5DCE4" w:themeFill="text2" w:themeFillTint="33"/>
          </w:tcPr>
          <w:p w14:paraId="7E70F497" w14:textId="77777777" w:rsidR="00812D7A" w:rsidRPr="00D46937" w:rsidRDefault="00812D7A" w:rsidP="00DD794A">
            <w:pPr>
              <w:tabs>
                <w:tab w:val="left" w:pos="1980"/>
              </w:tabs>
              <w:jc w:val="both"/>
              <w:rPr>
                <w:rFonts w:ascii="Times New Roman" w:hAnsi="Times New Roman" w:cs="Times New Roman"/>
                <w:sz w:val="20"/>
                <w:szCs w:val="20"/>
              </w:rPr>
            </w:pPr>
            <w:r w:rsidRPr="00D46937">
              <w:rPr>
                <w:rFonts w:ascii="Times New Roman" w:hAnsi="Times New Roman" w:cs="Times New Roman"/>
                <w:sz w:val="20"/>
                <w:szCs w:val="20"/>
              </w:rPr>
              <w:t>Valor real</w:t>
            </w:r>
          </w:p>
        </w:tc>
        <w:tc>
          <w:tcPr>
            <w:tcW w:w="992" w:type="dxa"/>
            <w:shd w:val="clear" w:color="auto" w:fill="D5DCE4" w:themeFill="text2" w:themeFillTint="33"/>
          </w:tcPr>
          <w:p w14:paraId="7E70F498" w14:textId="77777777" w:rsidR="00812D7A" w:rsidRPr="00D46937" w:rsidRDefault="00812D7A" w:rsidP="00DD794A">
            <w:pPr>
              <w:tabs>
                <w:tab w:val="left" w:pos="1980"/>
              </w:tabs>
              <w:jc w:val="both"/>
              <w:rPr>
                <w:rFonts w:ascii="Times New Roman" w:hAnsi="Times New Roman" w:cs="Times New Roman"/>
                <w:sz w:val="20"/>
                <w:szCs w:val="20"/>
              </w:rPr>
            </w:pPr>
            <w:r w:rsidRPr="00D46937">
              <w:rPr>
                <w:rFonts w:ascii="Times New Roman" w:hAnsi="Times New Roman" w:cs="Times New Roman"/>
                <w:sz w:val="20"/>
                <w:szCs w:val="20"/>
              </w:rPr>
              <w:t>p=.000</w:t>
            </w:r>
          </w:p>
        </w:tc>
        <w:tc>
          <w:tcPr>
            <w:tcW w:w="993" w:type="dxa"/>
            <w:shd w:val="clear" w:color="auto" w:fill="D5DCE4" w:themeFill="text2" w:themeFillTint="33"/>
          </w:tcPr>
          <w:p w14:paraId="7E70F499" w14:textId="77777777" w:rsidR="00812D7A" w:rsidRPr="00D46937" w:rsidRDefault="00812D7A" w:rsidP="00DD794A">
            <w:pPr>
              <w:tabs>
                <w:tab w:val="left" w:pos="1980"/>
              </w:tabs>
              <w:jc w:val="both"/>
              <w:rPr>
                <w:rFonts w:ascii="Times New Roman" w:hAnsi="Times New Roman" w:cs="Times New Roman"/>
                <w:sz w:val="20"/>
                <w:szCs w:val="20"/>
              </w:rPr>
            </w:pPr>
            <w:r w:rsidRPr="00D46937">
              <w:rPr>
                <w:rFonts w:ascii="Times New Roman" w:hAnsi="Times New Roman" w:cs="Times New Roman"/>
                <w:sz w:val="20"/>
                <w:szCs w:val="20"/>
              </w:rPr>
              <w:t>0.882</w:t>
            </w:r>
          </w:p>
        </w:tc>
        <w:tc>
          <w:tcPr>
            <w:tcW w:w="1134" w:type="dxa"/>
            <w:shd w:val="clear" w:color="auto" w:fill="D5DCE4" w:themeFill="text2" w:themeFillTint="33"/>
          </w:tcPr>
          <w:p w14:paraId="7E70F49A" w14:textId="77777777" w:rsidR="00812D7A" w:rsidRPr="00D46937" w:rsidRDefault="00812D7A" w:rsidP="00DD794A">
            <w:pPr>
              <w:tabs>
                <w:tab w:val="left" w:pos="1980"/>
              </w:tabs>
              <w:jc w:val="both"/>
              <w:rPr>
                <w:rFonts w:ascii="Times New Roman" w:hAnsi="Times New Roman" w:cs="Times New Roman"/>
                <w:sz w:val="20"/>
                <w:szCs w:val="20"/>
              </w:rPr>
            </w:pPr>
            <w:r w:rsidRPr="00D46937">
              <w:rPr>
                <w:rFonts w:ascii="Times New Roman" w:hAnsi="Times New Roman" w:cs="Times New Roman"/>
                <w:sz w:val="20"/>
                <w:szCs w:val="20"/>
              </w:rPr>
              <w:t>0.0532</w:t>
            </w:r>
          </w:p>
        </w:tc>
        <w:tc>
          <w:tcPr>
            <w:tcW w:w="425" w:type="dxa"/>
            <w:gridSpan w:val="2"/>
            <w:shd w:val="clear" w:color="auto" w:fill="D5DCE4" w:themeFill="text2" w:themeFillTint="33"/>
          </w:tcPr>
          <w:p w14:paraId="7E70F49B" w14:textId="77777777" w:rsidR="00812D7A" w:rsidRPr="00D46937" w:rsidRDefault="00812D7A" w:rsidP="00DD794A">
            <w:pPr>
              <w:tabs>
                <w:tab w:val="left" w:pos="1980"/>
              </w:tabs>
              <w:jc w:val="both"/>
              <w:rPr>
                <w:rFonts w:ascii="Times New Roman" w:hAnsi="Times New Roman" w:cs="Times New Roman"/>
                <w:sz w:val="20"/>
                <w:szCs w:val="20"/>
              </w:rPr>
            </w:pPr>
          </w:p>
        </w:tc>
        <w:tc>
          <w:tcPr>
            <w:tcW w:w="992" w:type="dxa"/>
            <w:shd w:val="clear" w:color="auto" w:fill="D5DCE4" w:themeFill="text2" w:themeFillTint="33"/>
          </w:tcPr>
          <w:p w14:paraId="7E70F49C" w14:textId="77777777" w:rsidR="00812D7A" w:rsidRPr="00D46937" w:rsidRDefault="00812D7A" w:rsidP="00DD794A">
            <w:pPr>
              <w:tabs>
                <w:tab w:val="left" w:pos="1980"/>
              </w:tabs>
              <w:jc w:val="both"/>
              <w:rPr>
                <w:rFonts w:ascii="Times New Roman" w:hAnsi="Times New Roman" w:cs="Times New Roman"/>
                <w:sz w:val="20"/>
                <w:szCs w:val="20"/>
              </w:rPr>
            </w:pPr>
            <w:r w:rsidRPr="00D46937">
              <w:rPr>
                <w:rFonts w:ascii="Times New Roman" w:hAnsi="Times New Roman" w:cs="Times New Roman"/>
                <w:sz w:val="20"/>
                <w:szCs w:val="20"/>
              </w:rPr>
              <w:t>0.825</w:t>
            </w:r>
          </w:p>
        </w:tc>
        <w:tc>
          <w:tcPr>
            <w:tcW w:w="851" w:type="dxa"/>
            <w:shd w:val="clear" w:color="auto" w:fill="D5DCE4" w:themeFill="text2" w:themeFillTint="33"/>
          </w:tcPr>
          <w:p w14:paraId="7E70F49D" w14:textId="77777777" w:rsidR="00812D7A" w:rsidRPr="00D46937" w:rsidRDefault="00812D7A" w:rsidP="00DD794A">
            <w:pPr>
              <w:tabs>
                <w:tab w:val="left" w:pos="1980"/>
              </w:tabs>
              <w:ind w:left="-108"/>
              <w:jc w:val="both"/>
              <w:rPr>
                <w:rFonts w:ascii="Times New Roman" w:hAnsi="Times New Roman" w:cs="Times New Roman"/>
                <w:sz w:val="20"/>
                <w:szCs w:val="20"/>
              </w:rPr>
            </w:pPr>
            <w:r w:rsidRPr="00D46937">
              <w:rPr>
                <w:rFonts w:ascii="Times New Roman" w:hAnsi="Times New Roman" w:cs="Times New Roman"/>
                <w:sz w:val="20"/>
                <w:szCs w:val="20"/>
              </w:rPr>
              <w:t>0.917</w:t>
            </w:r>
          </w:p>
        </w:tc>
        <w:tc>
          <w:tcPr>
            <w:tcW w:w="992" w:type="dxa"/>
            <w:shd w:val="clear" w:color="auto" w:fill="D5DCE4" w:themeFill="text2" w:themeFillTint="33"/>
          </w:tcPr>
          <w:p w14:paraId="7E70F49E" w14:textId="77777777" w:rsidR="00812D7A" w:rsidRPr="00D46937" w:rsidRDefault="00812D7A" w:rsidP="00DD794A">
            <w:pPr>
              <w:tabs>
                <w:tab w:val="left" w:pos="1980"/>
              </w:tabs>
              <w:jc w:val="both"/>
              <w:rPr>
                <w:rFonts w:ascii="Times New Roman" w:hAnsi="Times New Roman" w:cs="Times New Roman"/>
                <w:sz w:val="20"/>
                <w:szCs w:val="20"/>
              </w:rPr>
            </w:pPr>
            <w:r w:rsidRPr="00D46937">
              <w:rPr>
                <w:rFonts w:ascii="Times New Roman" w:hAnsi="Times New Roman" w:cs="Times New Roman"/>
                <w:sz w:val="20"/>
                <w:szCs w:val="20"/>
              </w:rPr>
              <w:t>0.932</w:t>
            </w:r>
          </w:p>
        </w:tc>
        <w:tc>
          <w:tcPr>
            <w:tcW w:w="283" w:type="dxa"/>
            <w:shd w:val="clear" w:color="auto" w:fill="D5DCE4" w:themeFill="text2" w:themeFillTint="33"/>
          </w:tcPr>
          <w:p w14:paraId="7E70F49F" w14:textId="77777777" w:rsidR="00812D7A" w:rsidRPr="00D46937" w:rsidRDefault="00812D7A" w:rsidP="00DD794A">
            <w:pPr>
              <w:tabs>
                <w:tab w:val="left" w:pos="1980"/>
              </w:tabs>
              <w:jc w:val="both"/>
              <w:rPr>
                <w:rFonts w:ascii="Times New Roman" w:hAnsi="Times New Roman" w:cs="Times New Roman"/>
                <w:sz w:val="20"/>
                <w:szCs w:val="20"/>
              </w:rPr>
            </w:pPr>
          </w:p>
        </w:tc>
        <w:tc>
          <w:tcPr>
            <w:tcW w:w="1567" w:type="dxa"/>
            <w:shd w:val="clear" w:color="auto" w:fill="D5DCE4" w:themeFill="text2" w:themeFillTint="33"/>
          </w:tcPr>
          <w:p w14:paraId="7E70F4A0" w14:textId="77777777" w:rsidR="00812D7A" w:rsidRPr="00D46937" w:rsidRDefault="00812D7A" w:rsidP="00DD794A">
            <w:pPr>
              <w:tabs>
                <w:tab w:val="left" w:pos="1980"/>
              </w:tabs>
              <w:jc w:val="both"/>
              <w:rPr>
                <w:rFonts w:ascii="Times New Roman" w:hAnsi="Times New Roman" w:cs="Times New Roman"/>
                <w:sz w:val="20"/>
                <w:szCs w:val="20"/>
              </w:rPr>
            </w:pPr>
            <w:r w:rsidRPr="00D46937">
              <w:rPr>
                <w:rFonts w:ascii="Times New Roman" w:hAnsi="Times New Roman" w:cs="Times New Roman"/>
                <w:sz w:val="20"/>
                <w:szCs w:val="20"/>
              </w:rPr>
              <w:t>0.638</w:t>
            </w:r>
          </w:p>
        </w:tc>
      </w:tr>
    </w:tbl>
    <w:p w14:paraId="7E70F4A2" w14:textId="77777777" w:rsidR="00812D7A" w:rsidRPr="00C10754" w:rsidRDefault="00812D7A" w:rsidP="00DD794A">
      <w:pPr>
        <w:tabs>
          <w:tab w:val="left" w:pos="1980"/>
        </w:tabs>
        <w:spacing w:after="0" w:line="240" w:lineRule="auto"/>
        <w:jc w:val="both"/>
        <w:rPr>
          <w:rFonts w:ascii="Times New Roman" w:hAnsi="Times New Roman" w:cs="Times New Roman"/>
          <w:sz w:val="18"/>
          <w:szCs w:val="18"/>
        </w:rPr>
      </w:pPr>
      <w:r w:rsidRPr="00C10754">
        <w:rPr>
          <w:rFonts w:ascii="Times New Roman" w:hAnsi="Times New Roman" w:cs="Times New Roman"/>
          <w:sz w:val="18"/>
          <w:szCs w:val="18"/>
        </w:rPr>
        <w:t xml:space="preserve">Nota: elaboración propia; *Levy, Varela y Abad (2006). </w:t>
      </w:r>
      <m:oMath>
        <m:sSup>
          <m:sSupPr>
            <m:ctrlPr>
              <w:rPr>
                <w:rFonts w:ascii="Cambria Math" w:hAnsi="Cambria Math" w:cs="Times New Roman"/>
                <w:sz w:val="18"/>
                <w:szCs w:val="18"/>
              </w:rPr>
            </m:ctrlPr>
          </m:sSupPr>
          <m:e>
            <m:r>
              <m:rPr>
                <m:sty m:val="p"/>
              </m:rPr>
              <w:rPr>
                <w:rFonts w:ascii="Cambria Math" w:hAnsi="Cambria Math" w:cs="Times New Roman"/>
                <w:sz w:val="18"/>
                <w:szCs w:val="18"/>
              </w:rPr>
              <m:t>X</m:t>
            </m:r>
          </m:e>
          <m:sup>
            <m:r>
              <m:rPr>
                <m:sty m:val="p"/>
              </m:rPr>
              <w:rPr>
                <w:rFonts w:ascii="Cambria Math" w:hAnsi="Cambria Math" w:cs="Times New Roman"/>
                <w:sz w:val="18"/>
                <w:szCs w:val="18"/>
              </w:rPr>
              <m:t>2</m:t>
            </m:r>
          </m:sup>
        </m:sSup>
        <m:r>
          <m:rPr>
            <m:sty m:val="p"/>
          </m:rPr>
          <w:rPr>
            <w:rFonts w:ascii="Cambria Math" w:hAnsi="Cambria Math" w:cs="Times New Roman"/>
            <w:sz w:val="18"/>
            <w:szCs w:val="18"/>
          </w:rPr>
          <m:t>=chi cuadrada</m:t>
        </m:r>
      </m:oMath>
      <w:r w:rsidRPr="00C10754">
        <w:rPr>
          <w:rFonts w:ascii="Times New Roman" w:hAnsi="Times New Roman" w:cs="Times New Roman"/>
          <w:sz w:val="18"/>
          <w:szCs w:val="18"/>
        </w:rPr>
        <w:t xml:space="preserve">;  GFI=Índice de Bondad de Ajuste; RMSEA= Media del Error de la Aproximación; NFI=Índice de Ajuste Normalizado; NNFI=Índice de Ajuste No Normalizado; CFI=Índice de Ajuste Comparativo; PNFI=Índice de Ajuste Parsimónico Normalizado. </w:t>
      </w:r>
    </w:p>
    <w:p w14:paraId="7E70F4A3" w14:textId="77777777" w:rsidR="00812D7A" w:rsidRPr="00AB0274" w:rsidRDefault="00812D7A" w:rsidP="00DD794A">
      <w:pPr>
        <w:tabs>
          <w:tab w:val="left" w:pos="1980"/>
        </w:tabs>
        <w:spacing w:before="120" w:after="120" w:line="240" w:lineRule="auto"/>
        <w:jc w:val="both"/>
        <w:rPr>
          <w:rFonts w:ascii="Times New Roman" w:hAnsi="Times New Roman" w:cs="Times New Roman"/>
          <w:sz w:val="24"/>
          <w:szCs w:val="24"/>
        </w:rPr>
      </w:pPr>
      <w:r w:rsidRPr="00AB0274">
        <w:rPr>
          <w:rFonts w:ascii="Times New Roman" w:hAnsi="Times New Roman" w:cs="Times New Roman"/>
          <w:sz w:val="24"/>
          <w:szCs w:val="24"/>
        </w:rPr>
        <w:t xml:space="preserve">           Esta re-especificación del modelo llevó a la eliminación de diez ítems, de manera que el modelo quedó formado por 24 </w:t>
      </w:r>
      <w:r w:rsidR="002E4DF9">
        <w:rPr>
          <w:rFonts w:ascii="Times New Roman" w:hAnsi="Times New Roman" w:cs="Times New Roman"/>
          <w:sz w:val="24"/>
          <w:szCs w:val="24"/>
        </w:rPr>
        <w:t>ítems</w:t>
      </w:r>
      <w:r w:rsidRPr="00AB0274">
        <w:rPr>
          <w:rFonts w:ascii="Times New Roman" w:hAnsi="Times New Roman" w:cs="Times New Roman"/>
          <w:sz w:val="24"/>
          <w:szCs w:val="24"/>
        </w:rPr>
        <w:t xml:space="preserve"> divididos en dos factores: el factor número uno, denominado </w:t>
      </w:r>
      <w:r w:rsidRPr="00AB0274">
        <w:rPr>
          <w:rFonts w:ascii="Times New Roman" w:hAnsi="Times New Roman" w:cs="Times New Roman"/>
          <w:i/>
          <w:sz w:val="24"/>
          <w:szCs w:val="24"/>
        </w:rPr>
        <w:t>Modelación de la intervención clínica.</w:t>
      </w:r>
      <w:r w:rsidRPr="00AB0274">
        <w:rPr>
          <w:rFonts w:ascii="Times New Roman" w:hAnsi="Times New Roman" w:cs="Times New Roman"/>
          <w:sz w:val="24"/>
          <w:szCs w:val="24"/>
        </w:rPr>
        <w:t xml:space="preserve">, que se refiere a el desarrollo de la supervisión </w:t>
      </w:r>
      <w:r w:rsidRPr="00AB0274">
        <w:rPr>
          <w:rFonts w:ascii="Times New Roman" w:hAnsi="Times New Roman" w:cs="Times New Roman"/>
          <w:i/>
          <w:sz w:val="24"/>
          <w:szCs w:val="24"/>
        </w:rPr>
        <w:t>in situ</w:t>
      </w:r>
      <w:r w:rsidRPr="00AB0274">
        <w:rPr>
          <w:rFonts w:ascii="Times New Roman" w:hAnsi="Times New Roman" w:cs="Times New Roman"/>
          <w:sz w:val="24"/>
          <w:szCs w:val="24"/>
        </w:rPr>
        <w:t xml:space="preserve">, está formado </w:t>
      </w:r>
      <w:r w:rsidR="009F7B1A">
        <w:rPr>
          <w:rFonts w:ascii="Times New Roman" w:hAnsi="Times New Roman" w:cs="Times New Roman"/>
          <w:sz w:val="24"/>
          <w:szCs w:val="24"/>
        </w:rPr>
        <w:t xml:space="preserve">por 15 </w:t>
      </w:r>
      <w:r w:rsidR="002E4DF9">
        <w:rPr>
          <w:rFonts w:ascii="Times New Roman" w:hAnsi="Times New Roman" w:cs="Times New Roman"/>
          <w:sz w:val="24"/>
          <w:szCs w:val="24"/>
        </w:rPr>
        <w:t>ítems</w:t>
      </w:r>
      <w:r w:rsidR="009F7B1A">
        <w:rPr>
          <w:rFonts w:ascii="Times New Roman" w:hAnsi="Times New Roman" w:cs="Times New Roman"/>
          <w:sz w:val="24"/>
          <w:szCs w:val="24"/>
        </w:rPr>
        <w:t>.</w:t>
      </w:r>
    </w:p>
    <w:p w14:paraId="7E70F4A4" w14:textId="77777777" w:rsidR="00812D7A" w:rsidRDefault="009B644B" w:rsidP="00DD794A">
      <w:pPr>
        <w:tabs>
          <w:tab w:val="left" w:pos="1980"/>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73E98">
        <w:rPr>
          <w:rFonts w:ascii="Times New Roman" w:hAnsi="Times New Roman" w:cs="Times New Roman"/>
          <w:sz w:val="24"/>
          <w:szCs w:val="24"/>
        </w:rPr>
        <w:t>Por su parte, el factor dos</w:t>
      </w:r>
      <w:r w:rsidR="00812D7A" w:rsidRPr="00AB0274">
        <w:rPr>
          <w:rFonts w:ascii="Times New Roman" w:hAnsi="Times New Roman" w:cs="Times New Roman"/>
          <w:sz w:val="24"/>
          <w:szCs w:val="24"/>
        </w:rPr>
        <w:t xml:space="preserve"> se </w:t>
      </w:r>
      <w:proofErr w:type="gramStart"/>
      <w:r w:rsidR="00812D7A" w:rsidRPr="00AB0274">
        <w:rPr>
          <w:rFonts w:ascii="Times New Roman" w:hAnsi="Times New Roman" w:cs="Times New Roman"/>
          <w:sz w:val="24"/>
          <w:szCs w:val="24"/>
        </w:rPr>
        <w:t>nombró</w:t>
      </w:r>
      <w:proofErr w:type="gramEnd"/>
      <w:r w:rsidR="00812D7A" w:rsidRPr="00AB0274">
        <w:rPr>
          <w:rFonts w:ascii="Times New Roman" w:hAnsi="Times New Roman" w:cs="Times New Roman"/>
          <w:sz w:val="24"/>
          <w:szCs w:val="24"/>
        </w:rPr>
        <w:t xml:space="preserve"> </w:t>
      </w:r>
      <w:r w:rsidR="00812D7A" w:rsidRPr="00AB0274">
        <w:rPr>
          <w:rFonts w:ascii="Times New Roman" w:hAnsi="Times New Roman" w:cs="Times New Roman"/>
          <w:i/>
          <w:sz w:val="24"/>
          <w:szCs w:val="24"/>
        </w:rPr>
        <w:t>Planeación y evaluación de la supervisión</w:t>
      </w:r>
      <w:r w:rsidR="00812D7A" w:rsidRPr="00AB0274">
        <w:rPr>
          <w:rFonts w:ascii="Times New Roman" w:hAnsi="Times New Roman" w:cs="Times New Roman"/>
          <w:sz w:val="24"/>
          <w:szCs w:val="24"/>
        </w:rPr>
        <w:t>, que consiste en las actividades de planificación y evaluación de la supervisión con</w:t>
      </w:r>
      <w:r w:rsidR="009F7B1A">
        <w:rPr>
          <w:rFonts w:ascii="Times New Roman" w:hAnsi="Times New Roman" w:cs="Times New Roman"/>
          <w:sz w:val="24"/>
          <w:szCs w:val="24"/>
        </w:rPr>
        <w:t xml:space="preserve">tiene 9 </w:t>
      </w:r>
      <w:r w:rsidR="002E4DF9">
        <w:rPr>
          <w:rFonts w:ascii="Times New Roman" w:hAnsi="Times New Roman" w:cs="Times New Roman"/>
          <w:sz w:val="24"/>
          <w:szCs w:val="24"/>
        </w:rPr>
        <w:t>ítems</w:t>
      </w:r>
      <w:r w:rsidR="00812D7A" w:rsidRPr="00AB0274">
        <w:rPr>
          <w:rFonts w:ascii="Times New Roman" w:hAnsi="Times New Roman" w:cs="Times New Roman"/>
          <w:sz w:val="24"/>
          <w:szCs w:val="24"/>
        </w:rPr>
        <w:t xml:space="preserve">. El índice Theta para estimar la </w:t>
      </w:r>
      <w:r w:rsidR="009032AA">
        <w:rPr>
          <w:rFonts w:ascii="Times New Roman" w:hAnsi="Times New Roman" w:cs="Times New Roman"/>
          <w:sz w:val="24"/>
          <w:szCs w:val="24"/>
        </w:rPr>
        <w:t>fiabilidad</w:t>
      </w:r>
      <w:r w:rsidR="00812D7A" w:rsidRPr="00AB0274">
        <w:rPr>
          <w:rFonts w:ascii="Times New Roman" w:hAnsi="Times New Roman" w:cs="Times New Roman"/>
          <w:sz w:val="24"/>
          <w:szCs w:val="24"/>
        </w:rPr>
        <w:t xml:space="preserve"> arrojó un valor de 0.98, mientras que el Alfa Ordinal fue de 0.961, ambos valores considerados muy buenos.</w:t>
      </w:r>
    </w:p>
    <w:p w14:paraId="7E70F4A5" w14:textId="77777777" w:rsidR="002D5B63" w:rsidRPr="00AB0274" w:rsidRDefault="001956F1" w:rsidP="002D5B63">
      <w:pPr>
        <w:spacing w:before="120" w:after="12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Estructura final del cuestionario</w:t>
      </w:r>
    </w:p>
    <w:p w14:paraId="7E70F4A6" w14:textId="3D6C24FB" w:rsidR="002D5B63" w:rsidRDefault="00DA3F9C" w:rsidP="00DD794A">
      <w:pPr>
        <w:tabs>
          <w:tab w:val="left" w:pos="1980"/>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En resumen, se partió de un banco de ítems inicial de 60</w:t>
      </w:r>
      <w:r w:rsidR="003B67AC">
        <w:rPr>
          <w:rFonts w:ascii="Times New Roman" w:hAnsi="Times New Roman" w:cs="Times New Roman"/>
          <w:sz w:val="24"/>
          <w:szCs w:val="24"/>
        </w:rPr>
        <w:t xml:space="preserve">, llegando a depurar </w:t>
      </w:r>
      <w:r>
        <w:rPr>
          <w:rFonts w:ascii="Times New Roman" w:hAnsi="Times New Roman" w:cs="Times New Roman"/>
          <w:sz w:val="24"/>
          <w:szCs w:val="24"/>
        </w:rPr>
        <w:t xml:space="preserve">el cuestionario </w:t>
      </w:r>
      <w:r w:rsidR="003B67AC">
        <w:rPr>
          <w:rFonts w:ascii="Times New Roman" w:hAnsi="Times New Roman" w:cs="Times New Roman"/>
          <w:sz w:val="24"/>
          <w:szCs w:val="24"/>
        </w:rPr>
        <w:t xml:space="preserve">a tal grado que </w:t>
      </w:r>
      <w:r>
        <w:rPr>
          <w:rFonts w:ascii="Times New Roman" w:hAnsi="Times New Roman" w:cs="Times New Roman"/>
          <w:sz w:val="24"/>
          <w:szCs w:val="24"/>
        </w:rPr>
        <w:t xml:space="preserve">quedó integrado por 24 ítems, distribuidos en dos dimensiones: </w:t>
      </w:r>
      <w:r w:rsidR="003C6A09">
        <w:rPr>
          <w:rFonts w:ascii="Times New Roman" w:hAnsi="Times New Roman" w:cs="Times New Roman"/>
          <w:sz w:val="24"/>
          <w:szCs w:val="24"/>
        </w:rPr>
        <w:t xml:space="preserve">(i) modelación de la intervención clínica </w:t>
      </w:r>
      <w:r>
        <w:rPr>
          <w:rFonts w:ascii="Times New Roman" w:hAnsi="Times New Roman" w:cs="Times New Roman"/>
          <w:sz w:val="24"/>
          <w:szCs w:val="24"/>
        </w:rPr>
        <w:t xml:space="preserve">y (ii) </w:t>
      </w:r>
      <w:r w:rsidR="003C6A09">
        <w:rPr>
          <w:rFonts w:ascii="Times New Roman" w:hAnsi="Times New Roman" w:cs="Times New Roman"/>
          <w:sz w:val="24"/>
          <w:szCs w:val="24"/>
        </w:rPr>
        <w:t xml:space="preserve">planeación y evaluación de la supervisión </w:t>
      </w:r>
      <w:r>
        <w:rPr>
          <w:rFonts w:ascii="Times New Roman" w:hAnsi="Times New Roman" w:cs="Times New Roman"/>
          <w:sz w:val="24"/>
          <w:szCs w:val="24"/>
        </w:rPr>
        <w:t>(ver tabla 11)</w:t>
      </w:r>
      <w:r w:rsidR="003B67AC">
        <w:rPr>
          <w:rFonts w:ascii="Times New Roman" w:hAnsi="Times New Roman" w:cs="Times New Roman"/>
          <w:sz w:val="24"/>
          <w:szCs w:val="24"/>
        </w:rPr>
        <w:t>.</w:t>
      </w:r>
    </w:p>
    <w:p w14:paraId="719069CC" w14:textId="4C379E0F" w:rsidR="00A66CEA" w:rsidRDefault="00A66CEA" w:rsidP="00DD794A">
      <w:pPr>
        <w:tabs>
          <w:tab w:val="left" w:pos="1980"/>
        </w:tabs>
        <w:spacing w:before="120" w:after="120" w:line="240" w:lineRule="auto"/>
        <w:jc w:val="both"/>
        <w:rPr>
          <w:rFonts w:ascii="Times New Roman" w:hAnsi="Times New Roman" w:cs="Times New Roman"/>
          <w:sz w:val="24"/>
          <w:szCs w:val="24"/>
        </w:rPr>
      </w:pPr>
    </w:p>
    <w:p w14:paraId="0CB79578" w14:textId="79EDE545" w:rsidR="00A66CEA" w:rsidRDefault="00A66CEA" w:rsidP="00DD794A">
      <w:pPr>
        <w:tabs>
          <w:tab w:val="left" w:pos="1980"/>
        </w:tabs>
        <w:spacing w:before="120" w:after="120" w:line="240" w:lineRule="auto"/>
        <w:jc w:val="both"/>
        <w:rPr>
          <w:rFonts w:ascii="Times New Roman" w:hAnsi="Times New Roman" w:cs="Times New Roman"/>
          <w:sz w:val="24"/>
          <w:szCs w:val="24"/>
        </w:rPr>
      </w:pPr>
    </w:p>
    <w:p w14:paraId="166349D3" w14:textId="69FA23F0" w:rsidR="007F2CBA" w:rsidRPr="00DD794A" w:rsidRDefault="007F2CBA" w:rsidP="00797524">
      <w:pPr>
        <w:spacing w:before="120" w:after="0" w:line="240" w:lineRule="auto"/>
        <w:jc w:val="both"/>
        <w:rPr>
          <w:rFonts w:ascii="Times New Roman" w:hAnsi="Times New Roman" w:cs="Times New Roman"/>
          <w:b/>
          <w:sz w:val="24"/>
          <w:szCs w:val="24"/>
        </w:rPr>
      </w:pPr>
      <w:r w:rsidRPr="00DD794A">
        <w:rPr>
          <w:rFonts w:ascii="Times New Roman" w:hAnsi="Times New Roman" w:cs="Times New Roman"/>
          <w:b/>
          <w:sz w:val="24"/>
          <w:szCs w:val="24"/>
        </w:rPr>
        <w:lastRenderedPageBreak/>
        <w:t>Tabla 1</w:t>
      </w:r>
      <w:r>
        <w:rPr>
          <w:rFonts w:ascii="Times New Roman" w:hAnsi="Times New Roman" w:cs="Times New Roman"/>
          <w:b/>
          <w:sz w:val="24"/>
          <w:szCs w:val="24"/>
        </w:rPr>
        <w:t>1</w:t>
      </w:r>
    </w:p>
    <w:p w14:paraId="7A13E2F7" w14:textId="23378350" w:rsidR="007F2CBA" w:rsidRPr="00DD794A" w:rsidRDefault="007F2CBA" w:rsidP="007F2CBA">
      <w:pPr>
        <w:spacing w:after="120" w:line="240" w:lineRule="auto"/>
        <w:jc w:val="both"/>
        <w:rPr>
          <w:rFonts w:ascii="Times New Roman" w:hAnsi="Times New Roman" w:cs="Times New Roman"/>
          <w:i/>
          <w:sz w:val="24"/>
          <w:szCs w:val="24"/>
        </w:rPr>
      </w:pPr>
      <w:r w:rsidRPr="00DD794A">
        <w:rPr>
          <w:rFonts w:ascii="Times New Roman" w:hAnsi="Times New Roman" w:cs="Times New Roman"/>
          <w:i/>
          <w:sz w:val="24"/>
          <w:szCs w:val="24"/>
        </w:rPr>
        <w:t>Í</w:t>
      </w:r>
      <w:r>
        <w:rPr>
          <w:rFonts w:ascii="Times New Roman" w:hAnsi="Times New Roman" w:cs="Times New Roman"/>
          <w:i/>
          <w:sz w:val="24"/>
          <w:szCs w:val="24"/>
        </w:rPr>
        <w:t>tems de la última versión del cuestionario diseñado</w:t>
      </w:r>
      <w:r w:rsidRPr="00DD794A">
        <w:rPr>
          <w:rFonts w:ascii="Times New Roman" w:hAnsi="Times New Roman" w:cs="Times New Roman"/>
          <w:i/>
          <w:sz w:val="24"/>
          <w:szCs w:val="24"/>
        </w:rPr>
        <w:t>.</w:t>
      </w:r>
    </w:p>
    <w:tbl>
      <w:tblPr>
        <w:tblStyle w:val="Tablaconcuadrcula"/>
        <w:tblW w:w="9322" w:type="dxa"/>
        <w:tblBorders>
          <w:left w:val="none" w:sz="0" w:space="0" w:color="auto"/>
          <w:right w:val="none" w:sz="0" w:space="0" w:color="auto"/>
        </w:tblBorders>
        <w:shd w:val="clear" w:color="auto" w:fill="D5DCE4" w:themeFill="text2" w:themeFillTint="33"/>
        <w:tblLook w:val="04A0" w:firstRow="1" w:lastRow="0" w:firstColumn="1" w:lastColumn="0" w:noHBand="0" w:noVBand="1"/>
      </w:tblPr>
      <w:tblGrid>
        <w:gridCol w:w="9322"/>
      </w:tblGrid>
      <w:tr w:rsidR="00A66CEA" w:rsidRPr="00491334" w14:paraId="3DAEC9A5" w14:textId="77777777" w:rsidTr="00A66CEA">
        <w:tc>
          <w:tcPr>
            <w:tcW w:w="9322" w:type="dxa"/>
            <w:tcBorders>
              <w:bottom w:val="single" w:sz="4" w:space="0" w:color="FFFFFF" w:themeColor="background1"/>
            </w:tcBorders>
            <w:shd w:val="clear" w:color="auto" w:fill="D5DCE4" w:themeFill="text2" w:themeFillTint="33"/>
          </w:tcPr>
          <w:p w14:paraId="39FD18D7" w14:textId="53D7F8A4" w:rsidR="00A66CEA" w:rsidRPr="00A66CEA" w:rsidRDefault="00A66CEA" w:rsidP="00A66CEA">
            <w:pPr>
              <w:pStyle w:val="Default"/>
              <w:jc w:val="center"/>
              <w:rPr>
                <w:rFonts w:ascii="Times New Roman" w:hAnsi="Times New Roman" w:cs="Times New Roman"/>
                <w:sz w:val="20"/>
                <w:szCs w:val="20"/>
                <w:lang w:val="es-MX"/>
              </w:rPr>
            </w:pPr>
            <w:r>
              <w:rPr>
                <w:rFonts w:ascii="Times New Roman" w:hAnsi="Times New Roman" w:cs="Times New Roman"/>
                <w:sz w:val="20"/>
                <w:szCs w:val="20"/>
                <w:lang w:val="es-MX"/>
              </w:rPr>
              <w:t>Ítems</w:t>
            </w:r>
          </w:p>
        </w:tc>
      </w:tr>
      <w:tr w:rsidR="00BC1AA0" w:rsidRPr="00491334" w14:paraId="7B9D1E51" w14:textId="77777777" w:rsidTr="007F2CBA">
        <w:trPr>
          <w:trHeight w:val="9846"/>
        </w:trPr>
        <w:tc>
          <w:tcPr>
            <w:tcW w:w="9322" w:type="dxa"/>
            <w:tcBorders>
              <w:top w:val="single" w:sz="4" w:space="0" w:color="FFFFFF" w:themeColor="background1"/>
            </w:tcBorders>
            <w:shd w:val="clear" w:color="auto" w:fill="D5DCE4" w:themeFill="text2" w:themeFillTint="33"/>
          </w:tcPr>
          <w:p w14:paraId="1CEE4384" w14:textId="77777777" w:rsidR="00BC1AA0" w:rsidRPr="00A66CEA" w:rsidRDefault="00BC1AA0" w:rsidP="00BC1AA0">
            <w:pPr>
              <w:pStyle w:val="Default"/>
              <w:numPr>
                <w:ilvl w:val="0"/>
                <w:numId w:val="3"/>
              </w:numPr>
              <w:jc w:val="both"/>
              <w:rPr>
                <w:rFonts w:ascii="Times New Roman" w:hAnsi="Times New Roman" w:cs="Times New Roman"/>
                <w:sz w:val="20"/>
                <w:szCs w:val="20"/>
                <w:lang w:val="es-MX"/>
              </w:rPr>
            </w:pPr>
            <w:r w:rsidRPr="00A66CEA">
              <w:rPr>
                <w:rFonts w:ascii="Times New Roman" w:hAnsi="Times New Roman" w:cs="Times New Roman"/>
                <w:sz w:val="20"/>
                <w:szCs w:val="20"/>
                <w:lang w:val="es-MX"/>
              </w:rPr>
              <w:t>Presenta a los estudiantes con los profesionales y personal involucrado en el servicio que se brinda en la sede.</w:t>
            </w:r>
          </w:p>
          <w:p w14:paraId="7BA0EA54" w14:textId="77777777" w:rsidR="00BC1AA0" w:rsidRPr="00A66CEA" w:rsidRDefault="00BC1AA0" w:rsidP="00BC1AA0">
            <w:pPr>
              <w:pStyle w:val="Default"/>
              <w:numPr>
                <w:ilvl w:val="0"/>
                <w:numId w:val="3"/>
              </w:numPr>
              <w:jc w:val="both"/>
              <w:rPr>
                <w:rFonts w:ascii="Times New Roman" w:hAnsi="Times New Roman" w:cs="Times New Roman"/>
                <w:sz w:val="20"/>
                <w:szCs w:val="20"/>
                <w:lang w:val="es-MX"/>
              </w:rPr>
            </w:pPr>
            <w:r w:rsidRPr="00A66CEA">
              <w:rPr>
                <w:rFonts w:ascii="Times New Roman" w:hAnsi="Times New Roman" w:cs="Times New Roman"/>
                <w:sz w:val="20"/>
                <w:szCs w:val="20"/>
                <w:lang w:val="es-MX"/>
              </w:rPr>
              <w:t>Sugiere a los alumnos estrategias e instrumentos para identificar las necesidades de atención de los pacientes</w:t>
            </w:r>
          </w:p>
          <w:p w14:paraId="674A8E60" w14:textId="77777777" w:rsidR="00BC1AA0" w:rsidRPr="00A66CEA" w:rsidRDefault="00BC1AA0" w:rsidP="00BC1AA0">
            <w:pPr>
              <w:pStyle w:val="Default"/>
              <w:numPr>
                <w:ilvl w:val="0"/>
                <w:numId w:val="3"/>
              </w:numPr>
              <w:jc w:val="both"/>
              <w:rPr>
                <w:rFonts w:ascii="Times New Roman" w:hAnsi="Times New Roman" w:cs="Times New Roman"/>
                <w:sz w:val="20"/>
                <w:szCs w:val="20"/>
                <w:lang w:val="es-MX"/>
              </w:rPr>
            </w:pPr>
            <w:r w:rsidRPr="00A66CEA">
              <w:rPr>
                <w:rFonts w:ascii="Times New Roman" w:hAnsi="Times New Roman" w:cs="Times New Roman"/>
                <w:sz w:val="20"/>
                <w:szCs w:val="20"/>
                <w:lang w:val="es-MX"/>
              </w:rPr>
              <w:t>Guía a los alumnos en la elaboración de un cronograma de trabajo que se ajuste a las necesidades de servicio de los pacientes</w:t>
            </w:r>
          </w:p>
          <w:p w14:paraId="3244EE70" w14:textId="77777777" w:rsidR="00BC1AA0" w:rsidRPr="00A66CEA" w:rsidRDefault="00BC1AA0" w:rsidP="00BC1AA0">
            <w:pPr>
              <w:pStyle w:val="Default"/>
              <w:numPr>
                <w:ilvl w:val="0"/>
                <w:numId w:val="3"/>
              </w:numPr>
              <w:jc w:val="both"/>
              <w:rPr>
                <w:rFonts w:ascii="Times New Roman" w:hAnsi="Times New Roman" w:cs="Times New Roman"/>
                <w:sz w:val="20"/>
                <w:szCs w:val="20"/>
                <w:lang w:val="es-MX"/>
              </w:rPr>
            </w:pPr>
            <w:r w:rsidRPr="00A66CEA">
              <w:rPr>
                <w:rFonts w:ascii="Times New Roman" w:hAnsi="Times New Roman" w:cs="Times New Roman"/>
                <w:sz w:val="20"/>
                <w:szCs w:val="20"/>
                <w:lang w:val="es-MX"/>
              </w:rPr>
              <w:t>Ante la presentación de una problemática determinada, promueve que los alumnos colaboren y propongan soluciones.</w:t>
            </w:r>
          </w:p>
          <w:p w14:paraId="197C184E" w14:textId="77777777" w:rsidR="00BC1AA0" w:rsidRPr="00A66CEA" w:rsidRDefault="00BC1AA0" w:rsidP="00BC1AA0">
            <w:pPr>
              <w:pStyle w:val="Default"/>
              <w:numPr>
                <w:ilvl w:val="0"/>
                <w:numId w:val="3"/>
              </w:numPr>
              <w:jc w:val="both"/>
              <w:rPr>
                <w:rFonts w:ascii="Times New Roman" w:hAnsi="Times New Roman" w:cs="Times New Roman"/>
                <w:sz w:val="20"/>
                <w:szCs w:val="20"/>
                <w:lang w:val="es-MX"/>
              </w:rPr>
            </w:pPr>
            <w:r w:rsidRPr="00A66CEA">
              <w:rPr>
                <w:rFonts w:ascii="Times New Roman" w:hAnsi="Times New Roman" w:cs="Times New Roman"/>
                <w:sz w:val="20"/>
                <w:szCs w:val="20"/>
                <w:lang w:val="es-MX"/>
              </w:rPr>
              <w:t>Promueve que los estudiantes apliquen estrategias que mejoren su desempeño individual y grupal.</w:t>
            </w:r>
          </w:p>
          <w:p w14:paraId="48BD251A" w14:textId="77777777" w:rsidR="00BC1AA0" w:rsidRPr="00A66CEA" w:rsidRDefault="00BC1AA0" w:rsidP="00BC1AA0">
            <w:pPr>
              <w:pStyle w:val="Default"/>
              <w:numPr>
                <w:ilvl w:val="0"/>
                <w:numId w:val="3"/>
              </w:numPr>
              <w:jc w:val="both"/>
              <w:rPr>
                <w:rFonts w:ascii="Times New Roman" w:hAnsi="Times New Roman" w:cs="Times New Roman"/>
                <w:sz w:val="20"/>
                <w:szCs w:val="20"/>
                <w:lang w:val="es-MX"/>
              </w:rPr>
            </w:pPr>
            <w:r w:rsidRPr="00A66CEA">
              <w:rPr>
                <w:rFonts w:ascii="Times New Roman" w:hAnsi="Times New Roman" w:cs="Times New Roman"/>
                <w:sz w:val="20"/>
                <w:szCs w:val="20"/>
                <w:lang w:val="es-MX"/>
              </w:rPr>
              <w:t>Plantea situaciones de la sede que exigen a los estudiantes tomar decisiones sobre los procedimientos más adecuados para desarrollar su intervención.</w:t>
            </w:r>
          </w:p>
          <w:p w14:paraId="1B453C33" w14:textId="77777777" w:rsidR="00BC1AA0" w:rsidRPr="00A66CEA" w:rsidRDefault="00BC1AA0" w:rsidP="00BC1AA0">
            <w:pPr>
              <w:pStyle w:val="Default"/>
              <w:numPr>
                <w:ilvl w:val="0"/>
                <w:numId w:val="3"/>
              </w:numPr>
              <w:jc w:val="both"/>
              <w:rPr>
                <w:rFonts w:ascii="Times New Roman" w:hAnsi="Times New Roman" w:cs="Times New Roman"/>
                <w:sz w:val="20"/>
                <w:szCs w:val="20"/>
                <w:lang w:val="es-MX"/>
              </w:rPr>
            </w:pPr>
            <w:r w:rsidRPr="00A66CEA">
              <w:rPr>
                <w:rFonts w:ascii="Times New Roman" w:hAnsi="Times New Roman" w:cs="Times New Roman"/>
                <w:sz w:val="20"/>
                <w:szCs w:val="20"/>
                <w:lang w:val="es-MX"/>
              </w:rPr>
              <w:t>Desarrolla sesiones de análisis de situaciones prácticas de intervención para que los alumnos reflexionen sobre la dimensión práctica.</w:t>
            </w:r>
          </w:p>
          <w:p w14:paraId="4A233DA1" w14:textId="77777777" w:rsidR="00BC1AA0" w:rsidRPr="00A66CEA" w:rsidRDefault="00BC1AA0" w:rsidP="00BC1AA0">
            <w:pPr>
              <w:pStyle w:val="Default"/>
              <w:numPr>
                <w:ilvl w:val="0"/>
                <w:numId w:val="3"/>
              </w:numPr>
              <w:jc w:val="both"/>
              <w:rPr>
                <w:rFonts w:ascii="Times New Roman" w:hAnsi="Times New Roman" w:cs="Times New Roman"/>
                <w:sz w:val="20"/>
                <w:szCs w:val="20"/>
                <w:lang w:val="es-MX"/>
              </w:rPr>
            </w:pPr>
            <w:r w:rsidRPr="00A66CEA">
              <w:rPr>
                <w:rFonts w:ascii="Times New Roman" w:hAnsi="Times New Roman" w:cs="Times New Roman"/>
                <w:sz w:val="20"/>
                <w:szCs w:val="20"/>
                <w:lang w:val="es-MX"/>
              </w:rPr>
              <w:t>Desarrolla sesiones de análisis de situaciones prácticas de intervención para que los alumnos reflexionen sobre la dimensión ética.</w:t>
            </w:r>
          </w:p>
          <w:p w14:paraId="45001FCE" w14:textId="77777777" w:rsidR="00BC1AA0" w:rsidRPr="00A66CEA" w:rsidRDefault="00BC1AA0" w:rsidP="00BC1AA0">
            <w:pPr>
              <w:pStyle w:val="Default"/>
              <w:numPr>
                <w:ilvl w:val="0"/>
                <w:numId w:val="3"/>
              </w:numPr>
              <w:jc w:val="both"/>
              <w:rPr>
                <w:rFonts w:ascii="Times New Roman" w:hAnsi="Times New Roman" w:cs="Times New Roman"/>
                <w:sz w:val="20"/>
                <w:szCs w:val="20"/>
                <w:lang w:val="es-MX"/>
              </w:rPr>
            </w:pPr>
            <w:r w:rsidRPr="00A66CEA">
              <w:rPr>
                <w:rFonts w:ascii="Times New Roman" w:hAnsi="Times New Roman" w:cs="Times New Roman"/>
                <w:sz w:val="20"/>
                <w:szCs w:val="20"/>
                <w:lang w:val="es-MX"/>
              </w:rPr>
              <w:t>Promueve que los alumnos participen expresando sus dudas de acuerdo a sus necesidades de formación.</w:t>
            </w:r>
          </w:p>
          <w:p w14:paraId="30D10544" w14:textId="77777777" w:rsidR="00BC1AA0" w:rsidRPr="00A66CEA" w:rsidRDefault="00BC1AA0" w:rsidP="00BC1AA0">
            <w:pPr>
              <w:pStyle w:val="Default"/>
              <w:numPr>
                <w:ilvl w:val="0"/>
                <w:numId w:val="3"/>
              </w:numPr>
              <w:jc w:val="both"/>
              <w:rPr>
                <w:rFonts w:ascii="Times New Roman" w:hAnsi="Times New Roman" w:cs="Times New Roman"/>
                <w:sz w:val="20"/>
                <w:szCs w:val="20"/>
                <w:lang w:val="es-MX"/>
              </w:rPr>
            </w:pPr>
            <w:r w:rsidRPr="00A66CEA">
              <w:rPr>
                <w:rFonts w:ascii="Times New Roman" w:hAnsi="Times New Roman" w:cs="Times New Roman"/>
                <w:sz w:val="20"/>
                <w:szCs w:val="20"/>
                <w:lang w:val="es-MX"/>
              </w:rPr>
              <w:t>Contempla, durante la supervisión, la asignación de un tiempo suficiente y espacio adecuado para que los alumnos reflexionen acerca de los sentimientos experimentados en diferentes etapas o situaciones del proceso de intervención.</w:t>
            </w:r>
          </w:p>
          <w:p w14:paraId="5DC3DCF7" w14:textId="77777777" w:rsidR="00BC1AA0" w:rsidRDefault="00BC1AA0" w:rsidP="00BC1AA0">
            <w:pPr>
              <w:pStyle w:val="Default"/>
              <w:numPr>
                <w:ilvl w:val="0"/>
                <w:numId w:val="3"/>
              </w:numPr>
              <w:jc w:val="both"/>
              <w:rPr>
                <w:rFonts w:ascii="Times New Roman" w:hAnsi="Times New Roman" w:cs="Times New Roman"/>
                <w:sz w:val="20"/>
                <w:szCs w:val="20"/>
                <w:lang w:val="es-MX"/>
              </w:rPr>
            </w:pPr>
            <w:r w:rsidRPr="00A66CEA">
              <w:rPr>
                <w:rFonts w:ascii="Times New Roman" w:hAnsi="Times New Roman" w:cs="Times New Roman"/>
                <w:sz w:val="20"/>
                <w:szCs w:val="20"/>
                <w:lang w:val="es-MX"/>
              </w:rPr>
              <w:t>Guía a los estudiantes en la selección y uso de instrumentos para que documenten y den seguimiento a sus intervenciones.</w:t>
            </w:r>
          </w:p>
          <w:p w14:paraId="3E00D2B6" w14:textId="77777777" w:rsidR="00BC1AA0" w:rsidRPr="00A66CEA" w:rsidRDefault="00BC1AA0" w:rsidP="00BC1AA0">
            <w:pPr>
              <w:pStyle w:val="Default"/>
              <w:numPr>
                <w:ilvl w:val="0"/>
                <w:numId w:val="3"/>
              </w:numPr>
              <w:jc w:val="both"/>
              <w:rPr>
                <w:rFonts w:ascii="Times New Roman" w:hAnsi="Times New Roman" w:cs="Times New Roman"/>
                <w:sz w:val="20"/>
                <w:szCs w:val="20"/>
                <w:lang w:val="es-MX"/>
              </w:rPr>
            </w:pPr>
            <w:r w:rsidRPr="00A66CEA">
              <w:rPr>
                <w:rFonts w:ascii="Times New Roman" w:hAnsi="Times New Roman" w:cs="Times New Roman"/>
                <w:sz w:val="20"/>
                <w:szCs w:val="20"/>
                <w:lang w:val="es-MX"/>
              </w:rPr>
              <w:t>Explica a los estudiantes los criterios de desempeño que deben alcanzar para garantizar una intervención exitosa en la sede.</w:t>
            </w:r>
          </w:p>
          <w:p w14:paraId="40A067EF" w14:textId="77777777" w:rsidR="00BC1AA0" w:rsidRPr="00A66CEA" w:rsidRDefault="00BC1AA0" w:rsidP="00BC1AA0">
            <w:pPr>
              <w:pStyle w:val="Default"/>
              <w:numPr>
                <w:ilvl w:val="0"/>
                <w:numId w:val="3"/>
              </w:numPr>
              <w:jc w:val="both"/>
              <w:rPr>
                <w:rFonts w:ascii="Times New Roman" w:hAnsi="Times New Roman" w:cs="Times New Roman"/>
                <w:sz w:val="20"/>
                <w:szCs w:val="20"/>
                <w:lang w:val="es-MX"/>
              </w:rPr>
            </w:pPr>
            <w:r w:rsidRPr="00A66CEA">
              <w:rPr>
                <w:rFonts w:ascii="Times New Roman" w:hAnsi="Times New Roman" w:cs="Times New Roman"/>
                <w:sz w:val="20"/>
                <w:szCs w:val="20"/>
                <w:lang w:val="es-MX"/>
              </w:rPr>
              <w:t>Sugiere a los estudiantes materiales y lecturas específicas de acuerdo a las necesidades que detectó durante su intervención.</w:t>
            </w:r>
          </w:p>
          <w:p w14:paraId="64C0112A" w14:textId="77777777" w:rsidR="00BC1AA0" w:rsidRPr="00A66CEA" w:rsidRDefault="00BC1AA0" w:rsidP="00BC1AA0">
            <w:pPr>
              <w:pStyle w:val="Default"/>
              <w:numPr>
                <w:ilvl w:val="0"/>
                <w:numId w:val="3"/>
              </w:numPr>
              <w:jc w:val="both"/>
              <w:rPr>
                <w:rFonts w:ascii="Times New Roman" w:hAnsi="Times New Roman" w:cs="Times New Roman"/>
                <w:sz w:val="20"/>
                <w:szCs w:val="20"/>
                <w:lang w:val="es-MX"/>
              </w:rPr>
            </w:pPr>
            <w:r w:rsidRPr="00A66CEA">
              <w:rPr>
                <w:rFonts w:ascii="Times New Roman" w:hAnsi="Times New Roman" w:cs="Times New Roman"/>
                <w:sz w:val="20"/>
                <w:szCs w:val="20"/>
                <w:lang w:val="es-MX"/>
              </w:rPr>
              <w:t>Apoya a los estudiantes a través de modelamiento e intervención directa para la solución de problemas que se presentan en el escenario.</w:t>
            </w:r>
          </w:p>
          <w:p w14:paraId="375F7431" w14:textId="77777777" w:rsidR="00BC1AA0" w:rsidRDefault="00BC1AA0" w:rsidP="00BC1AA0">
            <w:pPr>
              <w:pStyle w:val="Default"/>
              <w:numPr>
                <w:ilvl w:val="0"/>
                <w:numId w:val="3"/>
              </w:numPr>
              <w:jc w:val="both"/>
              <w:rPr>
                <w:rFonts w:ascii="Times New Roman" w:hAnsi="Times New Roman" w:cs="Times New Roman"/>
                <w:sz w:val="20"/>
                <w:szCs w:val="20"/>
                <w:lang w:val="es-MX"/>
              </w:rPr>
            </w:pPr>
            <w:r w:rsidRPr="00A66CEA">
              <w:rPr>
                <w:rFonts w:ascii="Times New Roman" w:hAnsi="Times New Roman" w:cs="Times New Roman"/>
                <w:sz w:val="20"/>
                <w:szCs w:val="20"/>
                <w:lang w:val="es-MX"/>
              </w:rPr>
              <w:t>Apoya a los estudiantes para que resuelvan eficazmente incidentes o situaciones imprevistas.</w:t>
            </w:r>
          </w:p>
          <w:p w14:paraId="098FEFC6" w14:textId="77777777" w:rsidR="003C6A09" w:rsidRPr="00A66CEA" w:rsidRDefault="003C6A09" w:rsidP="003C6A09">
            <w:pPr>
              <w:pStyle w:val="Default"/>
              <w:numPr>
                <w:ilvl w:val="0"/>
                <w:numId w:val="3"/>
              </w:numPr>
              <w:jc w:val="both"/>
              <w:rPr>
                <w:rFonts w:ascii="Times New Roman" w:hAnsi="Times New Roman" w:cs="Times New Roman"/>
                <w:sz w:val="20"/>
                <w:szCs w:val="20"/>
                <w:lang w:val="es-MX"/>
              </w:rPr>
            </w:pPr>
            <w:r w:rsidRPr="00A66CEA">
              <w:rPr>
                <w:rFonts w:ascii="Times New Roman" w:hAnsi="Times New Roman" w:cs="Times New Roman"/>
                <w:sz w:val="20"/>
                <w:szCs w:val="20"/>
                <w:lang w:val="es-MX"/>
              </w:rPr>
              <w:t>Explica el marco reglamentario que condiciona las prácticas clínicas (leyes, reglamentos, normas de seguridad, código ético, entre otros)</w:t>
            </w:r>
          </w:p>
          <w:p w14:paraId="71EE406A" w14:textId="77777777" w:rsidR="003C6A09" w:rsidRPr="00A66CEA" w:rsidRDefault="003C6A09" w:rsidP="003C6A09">
            <w:pPr>
              <w:pStyle w:val="Default"/>
              <w:numPr>
                <w:ilvl w:val="0"/>
                <w:numId w:val="3"/>
              </w:numPr>
              <w:jc w:val="both"/>
              <w:rPr>
                <w:rFonts w:ascii="Times New Roman" w:hAnsi="Times New Roman" w:cs="Times New Roman"/>
                <w:sz w:val="20"/>
                <w:szCs w:val="20"/>
                <w:lang w:val="es-MX"/>
              </w:rPr>
            </w:pPr>
            <w:r w:rsidRPr="00A66CEA">
              <w:rPr>
                <w:rFonts w:ascii="Times New Roman" w:hAnsi="Times New Roman" w:cs="Times New Roman"/>
                <w:sz w:val="20"/>
                <w:szCs w:val="20"/>
                <w:lang w:val="es-MX"/>
              </w:rPr>
              <w:t>Al inicio del curso, identifica los conocimientos previos de los estudiantes</w:t>
            </w:r>
          </w:p>
          <w:p w14:paraId="5C2A1945" w14:textId="77777777" w:rsidR="003C6A09" w:rsidRPr="00A66CEA" w:rsidRDefault="003C6A09" w:rsidP="003C6A09">
            <w:pPr>
              <w:pStyle w:val="Default"/>
              <w:numPr>
                <w:ilvl w:val="0"/>
                <w:numId w:val="3"/>
              </w:numPr>
              <w:jc w:val="both"/>
              <w:rPr>
                <w:rFonts w:ascii="Times New Roman" w:hAnsi="Times New Roman" w:cs="Times New Roman"/>
                <w:sz w:val="20"/>
                <w:szCs w:val="20"/>
                <w:lang w:val="es-MX"/>
              </w:rPr>
            </w:pPr>
            <w:r w:rsidRPr="00A66CEA">
              <w:rPr>
                <w:rFonts w:ascii="Times New Roman" w:hAnsi="Times New Roman" w:cs="Times New Roman"/>
                <w:sz w:val="20"/>
                <w:szCs w:val="20"/>
                <w:lang w:val="es-MX"/>
              </w:rPr>
              <w:t>Presenta el plan de supervisión (contenidos, organización y evaluación)</w:t>
            </w:r>
          </w:p>
          <w:p w14:paraId="56184228" w14:textId="77777777" w:rsidR="003C6A09" w:rsidRPr="00A66CEA" w:rsidRDefault="003C6A09" w:rsidP="003C6A09">
            <w:pPr>
              <w:pStyle w:val="Default"/>
              <w:numPr>
                <w:ilvl w:val="0"/>
                <w:numId w:val="3"/>
              </w:numPr>
              <w:jc w:val="both"/>
              <w:rPr>
                <w:rFonts w:ascii="Times New Roman" w:hAnsi="Times New Roman" w:cs="Times New Roman"/>
                <w:sz w:val="20"/>
                <w:szCs w:val="20"/>
                <w:lang w:val="es-MX"/>
              </w:rPr>
            </w:pPr>
            <w:r w:rsidRPr="00A66CEA">
              <w:rPr>
                <w:rFonts w:ascii="Times New Roman" w:hAnsi="Times New Roman" w:cs="Times New Roman"/>
                <w:sz w:val="20"/>
                <w:szCs w:val="20"/>
                <w:lang w:val="es-MX"/>
              </w:rPr>
              <w:t>Define las unidades de aprendizaje en el programa de supervisión.</w:t>
            </w:r>
          </w:p>
          <w:p w14:paraId="7BAEED6B" w14:textId="77777777" w:rsidR="003C6A09" w:rsidRPr="00A66CEA" w:rsidRDefault="003C6A09" w:rsidP="003C6A09">
            <w:pPr>
              <w:pStyle w:val="Default"/>
              <w:numPr>
                <w:ilvl w:val="0"/>
                <w:numId w:val="3"/>
              </w:numPr>
              <w:jc w:val="both"/>
              <w:rPr>
                <w:rFonts w:ascii="Times New Roman" w:hAnsi="Times New Roman" w:cs="Times New Roman"/>
                <w:sz w:val="20"/>
                <w:szCs w:val="20"/>
                <w:lang w:val="es-MX"/>
              </w:rPr>
            </w:pPr>
            <w:r w:rsidRPr="00A66CEA">
              <w:rPr>
                <w:rFonts w:ascii="Times New Roman" w:hAnsi="Times New Roman" w:cs="Times New Roman"/>
                <w:sz w:val="20"/>
                <w:szCs w:val="20"/>
                <w:lang w:val="es-MX"/>
              </w:rPr>
              <w:t>Realiza actividades para presentarse ante los alumnos, que se conozcan entre ellos y se integren al grupo.</w:t>
            </w:r>
          </w:p>
          <w:p w14:paraId="00D70980" w14:textId="77777777" w:rsidR="003C6A09" w:rsidRPr="00A66CEA" w:rsidRDefault="003C6A09" w:rsidP="003C6A09">
            <w:pPr>
              <w:pStyle w:val="Default"/>
              <w:numPr>
                <w:ilvl w:val="0"/>
                <w:numId w:val="3"/>
              </w:numPr>
              <w:jc w:val="both"/>
              <w:rPr>
                <w:rFonts w:ascii="Times New Roman" w:hAnsi="Times New Roman" w:cs="Times New Roman"/>
                <w:sz w:val="20"/>
                <w:szCs w:val="20"/>
                <w:lang w:val="es-MX"/>
              </w:rPr>
            </w:pPr>
            <w:r w:rsidRPr="00A66CEA">
              <w:rPr>
                <w:rFonts w:ascii="Times New Roman" w:hAnsi="Times New Roman" w:cs="Times New Roman"/>
                <w:sz w:val="20"/>
                <w:szCs w:val="20"/>
                <w:lang w:val="es-MX"/>
              </w:rPr>
              <w:t>Ante la presentación de una problemática determinada, promueve que los alumnos colaboren y propongan soluciones.</w:t>
            </w:r>
          </w:p>
          <w:p w14:paraId="54942F11" w14:textId="77777777" w:rsidR="003C6A09" w:rsidRPr="00A66CEA" w:rsidRDefault="003C6A09" w:rsidP="003C6A09">
            <w:pPr>
              <w:pStyle w:val="Default"/>
              <w:numPr>
                <w:ilvl w:val="0"/>
                <w:numId w:val="3"/>
              </w:numPr>
              <w:jc w:val="both"/>
              <w:rPr>
                <w:rFonts w:ascii="Times New Roman" w:hAnsi="Times New Roman" w:cs="Times New Roman"/>
                <w:sz w:val="20"/>
                <w:szCs w:val="20"/>
                <w:lang w:val="es-MX"/>
              </w:rPr>
            </w:pPr>
            <w:r w:rsidRPr="00A66CEA">
              <w:rPr>
                <w:rFonts w:ascii="Times New Roman" w:hAnsi="Times New Roman" w:cs="Times New Roman"/>
                <w:sz w:val="20"/>
                <w:szCs w:val="20"/>
                <w:lang w:val="es-MX"/>
              </w:rPr>
              <w:t>Identifica situaciones durante la supervisión en las que resulta pertinente compartir vivencias profesionales que contribuyan a mejorar el desempeño de los alumnos.</w:t>
            </w:r>
          </w:p>
          <w:p w14:paraId="53DE8886" w14:textId="77777777" w:rsidR="003C6A09" w:rsidRPr="00A66CEA" w:rsidRDefault="003C6A09" w:rsidP="003C6A09">
            <w:pPr>
              <w:pStyle w:val="Default"/>
              <w:numPr>
                <w:ilvl w:val="0"/>
                <w:numId w:val="3"/>
              </w:numPr>
              <w:jc w:val="both"/>
              <w:rPr>
                <w:rFonts w:ascii="Times New Roman" w:hAnsi="Times New Roman" w:cs="Times New Roman"/>
                <w:sz w:val="20"/>
                <w:szCs w:val="20"/>
                <w:lang w:val="es-MX"/>
              </w:rPr>
            </w:pPr>
            <w:r w:rsidRPr="00A66CEA">
              <w:rPr>
                <w:rFonts w:ascii="Times New Roman" w:hAnsi="Times New Roman" w:cs="Times New Roman"/>
                <w:sz w:val="20"/>
                <w:szCs w:val="20"/>
                <w:lang w:val="es-MX"/>
              </w:rPr>
              <w:t>Retoma los planteamientos de los estudiantes durante el desarrollo de las actividades en las sesiones grupales para promover la participación.</w:t>
            </w:r>
          </w:p>
          <w:p w14:paraId="757A9B1A" w14:textId="499C0173" w:rsidR="00BC1AA0" w:rsidRPr="003C6A09" w:rsidRDefault="003C6A09" w:rsidP="007F2CBA">
            <w:pPr>
              <w:pStyle w:val="Default"/>
              <w:numPr>
                <w:ilvl w:val="0"/>
                <w:numId w:val="3"/>
              </w:numPr>
              <w:jc w:val="both"/>
              <w:rPr>
                <w:rFonts w:ascii="Times New Roman" w:hAnsi="Times New Roman" w:cs="Times New Roman"/>
                <w:sz w:val="20"/>
                <w:szCs w:val="20"/>
                <w:lang w:val="es-MX"/>
              </w:rPr>
            </w:pPr>
            <w:r w:rsidRPr="00A66CEA">
              <w:rPr>
                <w:rFonts w:ascii="Times New Roman" w:hAnsi="Times New Roman" w:cs="Times New Roman"/>
                <w:sz w:val="20"/>
                <w:szCs w:val="20"/>
                <w:lang w:val="es-MX"/>
              </w:rPr>
              <w:t>Realiza evaluaciones para retroalimentar a los alumnos sobre su avance en el proceso de adquisición de las competencias.</w:t>
            </w:r>
          </w:p>
        </w:tc>
      </w:tr>
    </w:tbl>
    <w:p w14:paraId="4EECF184" w14:textId="0E91FE9F" w:rsidR="00A66CEA" w:rsidRPr="007F2CBA" w:rsidRDefault="007F2CBA" w:rsidP="00DD794A">
      <w:pPr>
        <w:spacing w:before="120" w:after="120" w:line="240" w:lineRule="auto"/>
        <w:jc w:val="both"/>
        <w:rPr>
          <w:rFonts w:ascii="Times New Roman" w:hAnsi="Times New Roman" w:cs="Times New Roman"/>
          <w:sz w:val="18"/>
          <w:szCs w:val="18"/>
        </w:rPr>
      </w:pPr>
      <w:r w:rsidRPr="00397F8A">
        <w:rPr>
          <w:rFonts w:ascii="Times New Roman" w:hAnsi="Times New Roman" w:cs="Times New Roman"/>
          <w:sz w:val="18"/>
          <w:szCs w:val="18"/>
        </w:rPr>
        <w:t>Nota: elaboración propia;</w:t>
      </w:r>
      <w:r w:rsidR="003C6A09">
        <w:rPr>
          <w:rFonts w:ascii="Times New Roman" w:hAnsi="Times New Roman" w:cs="Times New Roman"/>
          <w:sz w:val="18"/>
          <w:szCs w:val="18"/>
        </w:rPr>
        <w:t xml:space="preserve"> los ítems del 1 al 15</w:t>
      </w:r>
      <w:r>
        <w:rPr>
          <w:rFonts w:ascii="Times New Roman" w:hAnsi="Times New Roman" w:cs="Times New Roman"/>
          <w:sz w:val="18"/>
          <w:szCs w:val="18"/>
        </w:rPr>
        <w:t xml:space="preserve"> constituyen el factor </w:t>
      </w:r>
      <w:r w:rsidR="003C6A09" w:rsidRPr="003C6A09">
        <w:rPr>
          <w:rFonts w:ascii="Times New Roman" w:hAnsi="Times New Roman" w:cs="Times New Roman"/>
          <w:i/>
          <w:sz w:val="18"/>
          <w:szCs w:val="18"/>
        </w:rPr>
        <w:t>Modelación de la intervención clínica</w:t>
      </w:r>
      <w:r w:rsidRPr="007F2CBA">
        <w:rPr>
          <w:rFonts w:ascii="Times New Roman" w:hAnsi="Times New Roman" w:cs="Times New Roman"/>
          <w:sz w:val="18"/>
          <w:szCs w:val="18"/>
        </w:rPr>
        <w:t>, en tanto que e</w:t>
      </w:r>
      <w:r>
        <w:rPr>
          <w:rFonts w:ascii="Times New Roman" w:hAnsi="Times New Roman" w:cs="Times New Roman"/>
          <w:sz w:val="18"/>
          <w:szCs w:val="18"/>
        </w:rPr>
        <w:t xml:space="preserve">l </w:t>
      </w:r>
      <w:r w:rsidRPr="007F2CBA">
        <w:rPr>
          <w:rFonts w:ascii="Times New Roman" w:hAnsi="Times New Roman" w:cs="Times New Roman"/>
          <w:sz w:val="18"/>
          <w:szCs w:val="18"/>
        </w:rPr>
        <w:t xml:space="preserve">resto </w:t>
      </w:r>
      <w:r w:rsidR="003C6A09">
        <w:rPr>
          <w:rFonts w:ascii="Times New Roman" w:hAnsi="Times New Roman" w:cs="Times New Roman"/>
          <w:sz w:val="18"/>
          <w:szCs w:val="18"/>
        </w:rPr>
        <w:t>(ítems 16</w:t>
      </w:r>
      <w:r>
        <w:rPr>
          <w:rFonts w:ascii="Times New Roman" w:hAnsi="Times New Roman" w:cs="Times New Roman"/>
          <w:sz w:val="18"/>
          <w:szCs w:val="18"/>
        </w:rPr>
        <w:t xml:space="preserve"> al 24) conforman el</w:t>
      </w:r>
      <w:r w:rsidRPr="007F2CBA">
        <w:rPr>
          <w:rFonts w:ascii="Times New Roman" w:hAnsi="Times New Roman" w:cs="Times New Roman"/>
          <w:sz w:val="18"/>
          <w:szCs w:val="18"/>
        </w:rPr>
        <w:t xml:space="preserve"> factor</w:t>
      </w:r>
      <w:r w:rsidR="003C6A09">
        <w:rPr>
          <w:rFonts w:ascii="Times New Roman" w:hAnsi="Times New Roman" w:cs="Times New Roman"/>
          <w:sz w:val="18"/>
          <w:szCs w:val="18"/>
        </w:rPr>
        <w:t xml:space="preserve"> </w:t>
      </w:r>
      <w:r w:rsidR="003C6A09" w:rsidRPr="007F2CBA">
        <w:rPr>
          <w:rFonts w:ascii="Times New Roman" w:hAnsi="Times New Roman" w:cs="Times New Roman"/>
          <w:i/>
          <w:sz w:val="18"/>
          <w:szCs w:val="18"/>
        </w:rPr>
        <w:t>Planeación y evaluación de la supervisión</w:t>
      </w:r>
      <w:r>
        <w:rPr>
          <w:rFonts w:ascii="Times New Roman" w:hAnsi="Times New Roman" w:cs="Times New Roman"/>
          <w:sz w:val="18"/>
          <w:szCs w:val="18"/>
        </w:rPr>
        <w:t>.</w:t>
      </w:r>
    </w:p>
    <w:p w14:paraId="7E70F4A7" w14:textId="78E80228" w:rsidR="001B70A3" w:rsidRPr="00AB0274" w:rsidRDefault="001B70A3" w:rsidP="00DD794A">
      <w:pPr>
        <w:spacing w:before="120" w:after="120" w:line="240" w:lineRule="auto"/>
        <w:jc w:val="both"/>
        <w:rPr>
          <w:rFonts w:ascii="Times New Roman" w:hAnsi="Times New Roman" w:cs="Times New Roman"/>
          <w:b/>
          <w:sz w:val="24"/>
          <w:szCs w:val="24"/>
        </w:rPr>
      </w:pPr>
      <w:r w:rsidRPr="00AB0274">
        <w:rPr>
          <w:rFonts w:ascii="Times New Roman" w:hAnsi="Times New Roman" w:cs="Times New Roman"/>
          <w:b/>
          <w:sz w:val="24"/>
          <w:szCs w:val="24"/>
        </w:rPr>
        <w:t>Conclusiones</w:t>
      </w:r>
    </w:p>
    <w:p w14:paraId="7E70F4A8" w14:textId="77777777" w:rsidR="00DB0915" w:rsidRPr="00AB0274" w:rsidRDefault="00DB0915" w:rsidP="00DD794A">
      <w:pPr>
        <w:spacing w:before="120" w:after="120" w:line="240" w:lineRule="auto"/>
        <w:ind w:firstLine="708"/>
        <w:jc w:val="both"/>
        <w:rPr>
          <w:rFonts w:ascii="Times New Roman" w:hAnsi="Times New Roman" w:cs="Times New Roman"/>
          <w:sz w:val="24"/>
          <w:szCs w:val="24"/>
        </w:rPr>
      </w:pPr>
      <w:r w:rsidRPr="00AB0274">
        <w:rPr>
          <w:rFonts w:ascii="Times New Roman" w:hAnsi="Times New Roman" w:cs="Times New Roman"/>
          <w:sz w:val="24"/>
          <w:szCs w:val="24"/>
        </w:rPr>
        <w:t xml:space="preserve">La supervisión clínica en medicina es una forma particular de docencia universitaria en la que se enseña en contacto directo con pacientes en condición de enfermedad, situación que complejiza el proceso didáctico. La atención no solo está puesta en los </w:t>
      </w:r>
      <w:r w:rsidRPr="00AB0274">
        <w:rPr>
          <w:rFonts w:ascii="Times New Roman" w:hAnsi="Times New Roman" w:cs="Times New Roman"/>
          <w:sz w:val="24"/>
          <w:szCs w:val="24"/>
        </w:rPr>
        <w:lastRenderedPageBreak/>
        <w:t>aprendizajes que deben desarrollar los estudiantes, la prioridad es la integridad de los enfermos y el respeto a sus derechos humanos y a la salud.</w:t>
      </w:r>
    </w:p>
    <w:p w14:paraId="7E70F4A9" w14:textId="77777777" w:rsidR="001B70A3" w:rsidRPr="00AB0274" w:rsidRDefault="001B70A3" w:rsidP="00DD794A">
      <w:pPr>
        <w:spacing w:before="120" w:after="120" w:line="240" w:lineRule="auto"/>
        <w:ind w:firstLine="708"/>
        <w:jc w:val="both"/>
        <w:rPr>
          <w:rFonts w:ascii="Times New Roman" w:hAnsi="Times New Roman" w:cs="Times New Roman"/>
          <w:sz w:val="24"/>
          <w:szCs w:val="24"/>
        </w:rPr>
      </w:pPr>
      <w:r w:rsidRPr="00AB0274">
        <w:rPr>
          <w:rFonts w:ascii="Times New Roman" w:hAnsi="Times New Roman" w:cs="Times New Roman"/>
          <w:sz w:val="24"/>
          <w:szCs w:val="24"/>
        </w:rPr>
        <w:t>El Cuestionario de Evaluación Formativa de la Supervisión Clínica en Medicina es un instrumento de evaluación formativa que permiti</w:t>
      </w:r>
      <w:r w:rsidR="00FE05A6">
        <w:rPr>
          <w:rFonts w:ascii="Times New Roman" w:hAnsi="Times New Roman" w:cs="Times New Roman"/>
          <w:sz w:val="24"/>
          <w:szCs w:val="24"/>
        </w:rPr>
        <w:t xml:space="preserve">ó interpretaciones válidas y </w:t>
      </w:r>
      <w:r w:rsidRPr="00AB0274">
        <w:rPr>
          <w:rFonts w:ascii="Times New Roman" w:hAnsi="Times New Roman" w:cs="Times New Roman"/>
          <w:sz w:val="24"/>
          <w:szCs w:val="24"/>
        </w:rPr>
        <w:t xml:space="preserve">fiables de las puntuaciones obtenidas por los supervisores de la licenciatura en medicina de </w:t>
      </w:r>
      <w:r w:rsidR="004726E7">
        <w:rPr>
          <w:rFonts w:ascii="Times New Roman" w:hAnsi="Times New Roman" w:cs="Times New Roman"/>
          <w:sz w:val="24"/>
          <w:szCs w:val="24"/>
        </w:rPr>
        <w:t xml:space="preserve">la </w:t>
      </w:r>
      <w:r w:rsidR="004726E7">
        <w:rPr>
          <w:rFonts w:ascii="Times New Roman" w:hAnsi="Times New Roman"/>
          <w:sz w:val="24"/>
          <w:szCs w:val="24"/>
        </w:rPr>
        <w:t>Universidad Autónoma de Baja California</w:t>
      </w:r>
      <w:r w:rsidRPr="00AB0274">
        <w:rPr>
          <w:rFonts w:ascii="Times New Roman" w:hAnsi="Times New Roman" w:cs="Times New Roman"/>
          <w:sz w:val="24"/>
          <w:szCs w:val="24"/>
        </w:rPr>
        <w:t>, con base en la opinión de sus estudiantes.</w:t>
      </w:r>
    </w:p>
    <w:p w14:paraId="7E70F4AA" w14:textId="77777777" w:rsidR="00BB1A86" w:rsidRPr="00AB0274" w:rsidRDefault="00BB1A86" w:rsidP="00DD794A">
      <w:pPr>
        <w:spacing w:before="120" w:after="120" w:line="240" w:lineRule="auto"/>
        <w:ind w:firstLine="708"/>
        <w:jc w:val="both"/>
        <w:rPr>
          <w:rFonts w:ascii="Times New Roman" w:hAnsi="Times New Roman" w:cs="Times New Roman"/>
          <w:sz w:val="24"/>
          <w:szCs w:val="24"/>
        </w:rPr>
      </w:pPr>
      <w:r w:rsidRPr="00AB0274">
        <w:rPr>
          <w:rFonts w:ascii="Times New Roman" w:hAnsi="Times New Roman" w:cs="Times New Roman"/>
          <w:sz w:val="24"/>
          <w:szCs w:val="24"/>
        </w:rPr>
        <w:t>La planificación didáctica, el modelaje y la evaluación de los aprendizajes son los tres elementos esenciales para evaluar a los docentes que se desempeñan en los campos clínicos de la medicina. Este argumento se sustenta en la evidencia que se recolectó durante la investigación y es consistente con las dimensiones que se consideran en la literatura de evaluación de la docencia.</w:t>
      </w:r>
    </w:p>
    <w:p w14:paraId="7E70F4AB" w14:textId="0FC75519" w:rsidR="00BB1A86" w:rsidRDefault="00BB1A86" w:rsidP="00DD794A">
      <w:pPr>
        <w:spacing w:before="120" w:after="120" w:line="240" w:lineRule="auto"/>
        <w:jc w:val="both"/>
        <w:rPr>
          <w:rFonts w:ascii="Times New Roman" w:hAnsi="Times New Roman" w:cs="Times New Roman"/>
          <w:sz w:val="24"/>
          <w:szCs w:val="24"/>
        </w:rPr>
      </w:pPr>
      <w:r w:rsidRPr="00AB0274">
        <w:rPr>
          <w:rFonts w:ascii="Times New Roman" w:hAnsi="Times New Roman" w:cs="Times New Roman"/>
          <w:sz w:val="24"/>
          <w:szCs w:val="24"/>
        </w:rPr>
        <w:tab/>
        <w:t>Estas evidencias representan una aportación al objeto de estudio ya que confirman que la evaluación de las competencias docentes requiere considerar la previsión/planificación didáctica, la conducción del proceso de enseñanza propiamente dicho y la evaluación de los aprendizajes de los estudiantes.</w:t>
      </w:r>
    </w:p>
    <w:p w14:paraId="6D185A73" w14:textId="356A389E" w:rsidR="003B67AC" w:rsidRPr="00AB0274" w:rsidRDefault="003B67AC" w:rsidP="00DD794A">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Metodológicamente se enfrentaron dos retos principales e interrelacionados: (i) el tamaño de la muestra fue reducido, más </w:t>
      </w:r>
      <w:proofErr w:type="spellStart"/>
      <w:r>
        <w:rPr>
          <w:rFonts w:ascii="Times New Roman" w:hAnsi="Times New Roman" w:cs="Times New Roman"/>
          <w:sz w:val="24"/>
          <w:szCs w:val="24"/>
        </w:rPr>
        <w:t>aún</w:t>
      </w:r>
      <w:proofErr w:type="spellEnd"/>
      <w:r>
        <w:rPr>
          <w:rFonts w:ascii="Times New Roman" w:hAnsi="Times New Roman" w:cs="Times New Roman"/>
          <w:sz w:val="24"/>
          <w:szCs w:val="24"/>
        </w:rPr>
        <w:t xml:space="preserve"> considerando que se dividió en dos </w:t>
      </w:r>
      <w:proofErr w:type="spellStart"/>
      <w:r>
        <w:rPr>
          <w:rFonts w:ascii="Times New Roman" w:hAnsi="Times New Roman" w:cs="Times New Roman"/>
          <w:sz w:val="24"/>
          <w:szCs w:val="24"/>
        </w:rPr>
        <w:t>submuestras</w:t>
      </w:r>
      <w:proofErr w:type="spellEnd"/>
      <w:r>
        <w:rPr>
          <w:rFonts w:ascii="Times New Roman" w:hAnsi="Times New Roman" w:cs="Times New Roman"/>
          <w:sz w:val="24"/>
          <w:szCs w:val="24"/>
        </w:rPr>
        <w:t xml:space="preserve"> para llevar a cabo los dos análisis factoriales; (ii) el número de registros considerados en cada </w:t>
      </w:r>
      <w:proofErr w:type="spellStart"/>
      <w:r>
        <w:rPr>
          <w:rFonts w:ascii="Times New Roman" w:hAnsi="Times New Roman" w:cs="Times New Roman"/>
          <w:sz w:val="24"/>
          <w:szCs w:val="24"/>
        </w:rPr>
        <w:t>submuestra</w:t>
      </w:r>
      <w:proofErr w:type="spellEnd"/>
      <w:r>
        <w:rPr>
          <w:rFonts w:ascii="Times New Roman" w:hAnsi="Times New Roman" w:cs="Times New Roman"/>
          <w:sz w:val="24"/>
          <w:szCs w:val="24"/>
        </w:rPr>
        <w:t xml:space="preserve">, llevaron a reconfigurar múltiples veces los factoriales, situación que condujo a reducir de cinco a dos factores. </w:t>
      </w:r>
    </w:p>
    <w:p w14:paraId="7E70F4AC" w14:textId="66BC4529" w:rsidR="00BB1A86" w:rsidRDefault="001956F1" w:rsidP="00DD794A">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w:t>
      </w:r>
      <w:r w:rsidR="00BB1A86" w:rsidRPr="00AB0274">
        <w:rPr>
          <w:rFonts w:ascii="Times New Roman" w:hAnsi="Times New Roman" w:cs="Times New Roman"/>
          <w:sz w:val="24"/>
          <w:szCs w:val="24"/>
        </w:rPr>
        <w:t xml:space="preserve">Cuestionario de Evaluación Formativa de la Supervisión Clínica en Medicina se desarrolló para brindar información susceptible a ser utilizada en la reflexión sobre la propia práctica de los supervisores. En este sentido, una aportación fundamental de la investigación consiste en </w:t>
      </w:r>
      <w:r w:rsidR="009F7B1A">
        <w:rPr>
          <w:rFonts w:ascii="Times New Roman" w:hAnsi="Times New Roman" w:cs="Times New Roman"/>
          <w:sz w:val="24"/>
          <w:szCs w:val="24"/>
        </w:rPr>
        <w:t>la</w:t>
      </w:r>
      <w:r w:rsidR="003B67AC">
        <w:rPr>
          <w:rFonts w:ascii="Times New Roman" w:hAnsi="Times New Roman" w:cs="Times New Roman"/>
          <w:sz w:val="24"/>
          <w:szCs w:val="24"/>
        </w:rPr>
        <w:t xml:space="preserve"> </w:t>
      </w:r>
      <w:r w:rsidR="0009078B">
        <w:rPr>
          <w:rFonts w:ascii="Times New Roman" w:hAnsi="Times New Roman" w:cs="Times New Roman"/>
          <w:sz w:val="24"/>
          <w:szCs w:val="24"/>
        </w:rPr>
        <w:t>presentación</w:t>
      </w:r>
      <w:r w:rsidR="00BB1A86" w:rsidRPr="00AB0274">
        <w:rPr>
          <w:rFonts w:ascii="Times New Roman" w:hAnsi="Times New Roman" w:cs="Times New Roman"/>
          <w:sz w:val="24"/>
          <w:szCs w:val="24"/>
        </w:rPr>
        <w:t xml:space="preserve"> de los baremos del cuestionario, de manera que los supervisores evaluados estén en condiciones de ubicar sus desempeños en uno de los tres niveles de dominio e interpretar dichos resultados.</w:t>
      </w:r>
    </w:p>
    <w:p w14:paraId="363B41AD" w14:textId="2FC0A5CA" w:rsidR="003B67AC" w:rsidRPr="003B67AC" w:rsidRDefault="003B67AC" w:rsidP="003B67AC">
      <w:pPr>
        <w:spacing w:before="120" w:after="120" w:line="240" w:lineRule="auto"/>
        <w:ind w:firstLine="708"/>
        <w:jc w:val="both"/>
        <w:rPr>
          <w:rFonts w:ascii="Times New Roman" w:hAnsi="Times New Roman" w:cs="Times New Roman"/>
          <w:sz w:val="24"/>
          <w:szCs w:val="24"/>
        </w:rPr>
      </w:pPr>
      <w:r w:rsidRPr="003B67AC">
        <w:rPr>
          <w:rFonts w:ascii="Times New Roman" w:hAnsi="Times New Roman" w:cs="Times New Roman"/>
          <w:sz w:val="24"/>
          <w:szCs w:val="24"/>
        </w:rPr>
        <w:t xml:space="preserve">El procedimiento de interpretación que aquí se propone parte de la construcción de baremos </w:t>
      </w:r>
      <w:proofErr w:type="spellStart"/>
      <w:r w:rsidRPr="003B67AC">
        <w:rPr>
          <w:rFonts w:ascii="Times New Roman" w:hAnsi="Times New Roman" w:cs="Times New Roman"/>
          <w:sz w:val="24"/>
          <w:szCs w:val="24"/>
        </w:rPr>
        <w:t>percentilares</w:t>
      </w:r>
      <w:proofErr w:type="spellEnd"/>
      <w:r w:rsidRPr="003B67AC">
        <w:rPr>
          <w:rFonts w:ascii="Times New Roman" w:hAnsi="Times New Roman" w:cs="Times New Roman"/>
          <w:sz w:val="24"/>
          <w:szCs w:val="24"/>
        </w:rPr>
        <w:t xml:space="preserve"> con base en los 350 cuestionarios considerados en este estudio de validación. En la tabla </w:t>
      </w:r>
      <w:r>
        <w:rPr>
          <w:rFonts w:ascii="Times New Roman" w:hAnsi="Times New Roman" w:cs="Times New Roman"/>
          <w:sz w:val="24"/>
          <w:szCs w:val="24"/>
        </w:rPr>
        <w:t>12</w:t>
      </w:r>
      <w:r w:rsidRPr="003B67AC">
        <w:rPr>
          <w:rFonts w:ascii="Times New Roman" w:hAnsi="Times New Roman" w:cs="Times New Roman"/>
          <w:sz w:val="24"/>
          <w:szCs w:val="24"/>
        </w:rPr>
        <w:t xml:space="preserve"> se presentan los valores que corresponden a los percentiles 25, 50 y 75.</w:t>
      </w:r>
    </w:p>
    <w:p w14:paraId="77508886" w14:textId="5682B651" w:rsidR="003B67AC" w:rsidRPr="003968B1" w:rsidRDefault="003B67AC" w:rsidP="00CE09D2">
      <w:pPr>
        <w:spacing w:after="120" w:line="240" w:lineRule="auto"/>
        <w:jc w:val="both"/>
        <w:rPr>
          <w:rFonts w:ascii="Times New Roman" w:hAnsi="Times New Roman" w:cs="Times New Roman"/>
          <w:b/>
          <w:sz w:val="24"/>
          <w:szCs w:val="24"/>
        </w:rPr>
      </w:pPr>
      <w:r w:rsidRPr="003968B1">
        <w:rPr>
          <w:rFonts w:ascii="Times New Roman" w:hAnsi="Times New Roman" w:cs="Times New Roman"/>
          <w:b/>
          <w:sz w:val="24"/>
          <w:szCs w:val="24"/>
        </w:rPr>
        <w:t>Tabla 12</w:t>
      </w:r>
    </w:p>
    <w:p w14:paraId="679273D0" w14:textId="4745C2D4" w:rsidR="003B67AC" w:rsidRDefault="003B67AC" w:rsidP="00CE09D2">
      <w:pPr>
        <w:spacing w:after="120" w:line="240" w:lineRule="auto"/>
        <w:jc w:val="both"/>
        <w:rPr>
          <w:rFonts w:ascii="Times New Roman" w:hAnsi="Times New Roman" w:cs="Times New Roman"/>
          <w:i/>
          <w:sz w:val="24"/>
          <w:szCs w:val="24"/>
        </w:rPr>
      </w:pPr>
      <w:r w:rsidRPr="003968B1">
        <w:rPr>
          <w:rFonts w:ascii="Times New Roman" w:hAnsi="Times New Roman" w:cs="Times New Roman"/>
          <w:i/>
          <w:sz w:val="24"/>
          <w:szCs w:val="24"/>
        </w:rPr>
        <w:t>Cuartiles de las sumatorias por factor.</w:t>
      </w:r>
    </w:p>
    <w:tbl>
      <w:tblPr>
        <w:tblW w:w="8794" w:type="dxa"/>
        <w:tblBorders>
          <w:top w:val="single" w:sz="4" w:space="0" w:color="auto"/>
          <w:bottom w:val="single" w:sz="4" w:space="0" w:color="auto"/>
          <w:insideH w:val="single" w:sz="4" w:space="0" w:color="FFFFFF" w:themeColor="background1"/>
        </w:tblBorders>
        <w:tblLayout w:type="fixed"/>
        <w:tblCellMar>
          <w:left w:w="0" w:type="dxa"/>
          <w:right w:w="0" w:type="dxa"/>
        </w:tblCellMar>
        <w:tblLook w:val="0000" w:firstRow="0" w:lastRow="0" w:firstColumn="0" w:lastColumn="0" w:noHBand="0" w:noVBand="0"/>
      </w:tblPr>
      <w:tblGrid>
        <w:gridCol w:w="1990"/>
        <w:gridCol w:w="2268"/>
        <w:gridCol w:w="2268"/>
        <w:gridCol w:w="2268"/>
      </w:tblGrid>
      <w:tr w:rsidR="003B67AC" w:rsidRPr="003B67AC" w14:paraId="48C46D12" w14:textId="77777777" w:rsidTr="00797524">
        <w:trPr>
          <w:cantSplit/>
        </w:trPr>
        <w:tc>
          <w:tcPr>
            <w:tcW w:w="1990" w:type="dxa"/>
            <w:shd w:val="clear" w:color="auto" w:fill="FFFFFF" w:themeFill="background1"/>
            <w:vAlign w:val="center"/>
          </w:tcPr>
          <w:p w14:paraId="7871EB92"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Percentiles</w:t>
            </w:r>
          </w:p>
        </w:tc>
        <w:tc>
          <w:tcPr>
            <w:tcW w:w="2268" w:type="dxa"/>
            <w:shd w:val="clear" w:color="auto" w:fill="FFFFFF" w:themeFill="background1"/>
          </w:tcPr>
          <w:p w14:paraId="4567274A"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Factor Planea</w:t>
            </w:r>
          </w:p>
        </w:tc>
        <w:tc>
          <w:tcPr>
            <w:tcW w:w="2268" w:type="dxa"/>
            <w:shd w:val="clear" w:color="auto" w:fill="FFFFFF" w:themeFill="background1"/>
          </w:tcPr>
          <w:p w14:paraId="215B276A"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Factor Modela</w:t>
            </w:r>
          </w:p>
        </w:tc>
        <w:tc>
          <w:tcPr>
            <w:tcW w:w="2268" w:type="dxa"/>
            <w:shd w:val="clear" w:color="auto" w:fill="FFFFFF" w:themeFill="background1"/>
          </w:tcPr>
          <w:p w14:paraId="4103C5B4"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Puntaje total</w:t>
            </w:r>
          </w:p>
        </w:tc>
      </w:tr>
      <w:tr w:rsidR="003B67AC" w:rsidRPr="003B67AC" w14:paraId="6F04EA95" w14:textId="77777777" w:rsidTr="00797524">
        <w:trPr>
          <w:cantSplit/>
        </w:trPr>
        <w:tc>
          <w:tcPr>
            <w:tcW w:w="1990" w:type="dxa"/>
            <w:shd w:val="clear" w:color="auto" w:fill="F2F2F2" w:themeFill="background1" w:themeFillShade="F2"/>
            <w:vAlign w:val="center"/>
          </w:tcPr>
          <w:p w14:paraId="32992DD9"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25</w:t>
            </w:r>
          </w:p>
        </w:tc>
        <w:tc>
          <w:tcPr>
            <w:tcW w:w="2268" w:type="dxa"/>
            <w:shd w:val="clear" w:color="auto" w:fill="F2F2F2" w:themeFill="background1" w:themeFillShade="F2"/>
          </w:tcPr>
          <w:p w14:paraId="39809D4C"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17.00</w:t>
            </w:r>
          </w:p>
        </w:tc>
        <w:tc>
          <w:tcPr>
            <w:tcW w:w="2268" w:type="dxa"/>
            <w:shd w:val="clear" w:color="auto" w:fill="F2F2F2" w:themeFill="background1" w:themeFillShade="F2"/>
          </w:tcPr>
          <w:p w14:paraId="161F40AF"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27.75</w:t>
            </w:r>
          </w:p>
        </w:tc>
        <w:tc>
          <w:tcPr>
            <w:tcW w:w="2268" w:type="dxa"/>
            <w:shd w:val="clear" w:color="auto" w:fill="F2F2F2" w:themeFill="background1" w:themeFillShade="F2"/>
          </w:tcPr>
          <w:p w14:paraId="48012568"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44.75</w:t>
            </w:r>
          </w:p>
        </w:tc>
      </w:tr>
      <w:tr w:rsidR="003B67AC" w:rsidRPr="003B67AC" w14:paraId="6553BEF6" w14:textId="77777777" w:rsidTr="00797524">
        <w:trPr>
          <w:cantSplit/>
        </w:trPr>
        <w:tc>
          <w:tcPr>
            <w:tcW w:w="1990" w:type="dxa"/>
            <w:shd w:val="clear" w:color="auto" w:fill="D9D9D9" w:themeFill="background1" w:themeFillShade="D9"/>
            <w:vAlign w:val="center"/>
          </w:tcPr>
          <w:p w14:paraId="2AA8543C"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50</w:t>
            </w:r>
          </w:p>
        </w:tc>
        <w:tc>
          <w:tcPr>
            <w:tcW w:w="2268" w:type="dxa"/>
            <w:shd w:val="clear" w:color="auto" w:fill="D9D9D9" w:themeFill="background1" w:themeFillShade="D9"/>
          </w:tcPr>
          <w:p w14:paraId="16B45040"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20.00</w:t>
            </w:r>
          </w:p>
        </w:tc>
        <w:tc>
          <w:tcPr>
            <w:tcW w:w="2268" w:type="dxa"/>
            <w:shd w:val="clear" w:color="auto" w:fill="D9D9D9" w:themeFill="background1" w:themeFillShade="D9"/>
          </w:tcPr>
          <w:p w14:paraId="1E77618C"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35.00</w:t>
            </w:r>
          </w:p>
        </w:tc>
        <w:tc>
          <w:tcPr>
            <w:tcW w:w="2268" w:type="dxa"/>
            <w:shd w:val="clear" w:color="auto" w:fill="D9D9D9" w:themeFill="background1" w:themeFillShade="D9"/>
          </w:tcPr>
          <w:p w14:paraId="64E5F779"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55.00</w:t>
            </w:r>
          </w:p>
        </w:tc>
      </w:tr>
      <w:tr w:rsidR="003B67AC" w:rsidRPr="003B67AC" w14:paraId="044C7CAC" w14:textId="77777777" w:rsidTr="00797524">
        <w:trPr>
          <w:cantSplit/>
        </w:trPr>
        <w:tc>
          <w:tcPr>
            <w:tcW w:w="1990" w:type="dxa"/>
            <w:shd w:val="clear" w:color="auto" w:fill="BFBFBF" w:themeFill="background1" w:themeFillShade="BF"/>
            <w:vAlign w:val="center"/>
          </w:tcPr>
          <w:p w14:paraId="58D1D3AF"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75</w:t>
            </w:r>
          </w:p>
        </w:tc>
        <w:tc>
          <w:tcPr>
            <w:tcW w:w="2268" w:type="dxa"/>
            <w:shd w:val="clear" w:color="auto" w:fill="BFBFBF" w:themeFill="background1" w:themeFillShade="BF"/>
          </w:tcPr>
          <w:p w14:paraId="04B2C522"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24.00</w:t>
            </w:r>
          </w:p>
        </w:tc>
        <w:tc>
          <w:tcPr>
            <w:tcW w:w="2268" w:type="dxa"/>
            <w:shd w:val="clear" w:color="auto" w:fill="BFBFBF" w:themeFill="background1" w:themeFillShade="BF"/>
          </w:tcPr>
          <w:p w14:paraId="594153AF"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40.00</w:t>
            </w:r>
          </w:p>
        </w:tc>
        <w:tc>
          <w:tcPr>
            <w:tcW w:w="2268" w:type="dxa"/>
            <w:shd w:val="clear" w:color="auto" w:fill="BFBFBF" w:themeFill="background1" w:themeFillShade="BF"/>
          </w:tcPr>
          <w:p w14:paraId="3A345277"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64.00</w:t>
            </w:r>
          </w:p>
        </w:tc>
      </w:tr>
    </w:tbl>
    <w:p w14:paraId="05577302" w14:textId="77777777" w:rsidR="003B67AC" w:rsidRPr="0009078B" w:rsidRDefault="003B67AC" w:rsidP="003B67AC">
      <w:pPr>
        <w:spacing w:before="120" w:after="120" w:line="240" w:lineRule="auto"/>
        <w:ind w:firstLine="708"/>
        <w:jc w:val="both"/>
        <w:rPr>
          <w:rFonts w:ascii="Times New Roman" w:hAnsi="Times New Roman" w:cs="Times New Roman"/>
          <w:sz w:val="18"/>
          <w:szCs w:val="18"/>
        </w:rPr>
      </w:pPr>
      <w:r w:rsidRPr="0009078B">
        <w:rPr>
          <w:rFonts w:ascii="Times New Roman" w:hAnsi="Times New Roman" w:cs="Times New Roman"/>
          <w:sz w:val="18"/>
          <w:szCs w:val="18"/>
        </w:rPr>
        <w:t>Nota: elaboración propia.</w:t>
      </w:r>
    </w:p>
    <w:p w14:paraId="06E3C0C3" w14:textId="77777777" w:rsidR="003B67AC" w:rsidRPr="003B67AC" w:rsidRDefault="003B67AC" w:rsidP="003B67AC">
      <w:pPr>
        <w:spacing w:before="120" w:after="120" w:line="240" w:lineRule="auto"/>
        <w:ind w:firstLine="708"/>
        <w:jc w:val="both"/>
        <w:rPr>
          <w:rFonts w:ascii="Times New Roman" w:hAnsi="Times New Roman" w:cs="Times New Roman"/>
          <w:sz w:val="24"/>
          <w:szCs w:val="24"/>
        </w:rPr>
      </w:pPr>
      <w:r w:rsidRPr="003B67AC">
        <w:rPr>
          <w:rFonts w:ascii="Times New Roman" w:hAnsi="Times New Roman" w:cs="Times New Roman"/>
          <w:sz w:val="24"/>
          <w:szCs w:val="24"/>
        </w:rPr>
        <w:t>El nivel de competencia para cada factor considerado en el cuestionario desarrollado se puede ubicar dentro de tres rangos: un nivel de competencia bajo para aquellos supervisores que obtengan un puntaje total por debajo de 45; un nivel de competencia intermedio para los supervisores que obtengan un puntaje total entre 45 y 65; y un nivel de competencia alto para los supervisores que obtengan puntajes totales mayores a 65.</w:t>
      </w:r>
    </w:p>
    <w:p w14:paraId="6A66B2AF" w14:textId="250ECB5A" w:rsidR="003B67AC" w:rsidRPr="003B67AC" w:rsidRDefault="003B67AC" w:rsidP="003B67AC">
      <w:pPr>
        <w:spacing w:before="120" w:after="120" w:line="240" w:lineRule="auto"/>
        <w:ind w:firstLine="708"/>
        <w:jc w:val="both"/>
        <w:rPr>
          <w:rFonts w:ascii="Times New Roman" w:hAnsi="Times New Roman" w:cs="Times New Roman"/>
          <w:sz w:val="24"/>
          <w:szCs w:val="24"/>
        </w:rPr>
      </w:pPr>
      <w:r w:rsidRPr="003B67AC">
        <w:rPr>
          <w:rFonts w:ascii="Times New Roman" w:hAnsi="Times New Roman" w:cs="Times New Roman"/>
          <w:sz w:val="24"/>
          <w:szCs w:val="24"/>
        </w:rPr>
        <w:lastRenderedPageBreak/>
        <w:t xml:space="preserve">Asimismo, para cada uno de los factores se puede estimar el nivel de competencia partiendo de los mismos rangos descritos. De esta manera, en la tabla </w:t>
      </w:r>
      <w:r w:rsidR="00CE09D2">
        <w:rPr>
          <w:rFonts w:ascii="Times New Roman" w:hAnsi="Times New Roman" w:cs="Times New Roman"/>
          <w:sz w:val="24"/>
          <w:szCs w:val="24"/>
        </w:rPr>
        <w:t>13</w:t>
      </w:r>
      <w:r w:rsidRPr="003B67AC">
        <w:rPr>
          <w:rFonts w:ascii="Times New Roman" w:hAnsi="Times New Roman" w:cs="Times New Roman"/>
          <w:sz w:val="24"/>
          <w:szCs w:val="24"/>
        </w:rPr>
        <w:t xml:space="preserve"> se muestran los rangos para la interpretación de los niveles de dominio de las competencias de los supervisores clínicos en medicina con base en el cuestionario desarrollado.</w:t>
      </w:r>
    </w:p>
    <w:p w14:paraId="00E1C61C" w14:textId="512D5167" w:rsidR="003B67AC" w:rsidRPr="00CE09D2" w:rsidRDefault="003B67AC" w:rsidP="00CE09D2">
      <w:pPr>
        <w:spacing w:after="120" w:line="240" w:lineRule="auto"/>
        <w:jc w:val="both"/>
        <w:rPr>
          <w:rFonts w:ascii="Times New Roman" w:hAnsi="Times New Roman" w:cs="Times New Roman"/>
          <w:b/>
          <w:sz w:val="24"/>
          <w:szCs w:val="24"/>
        </w:rPr>
      </w:pPr>
      <w:r w:rsidRPr="00CE09D2">
        <w:rPr>
          <w:rFonts w:ascii="Times New Roman" w:hAnsi="Times New Roman" w:cs="Times New Roman"/>
          <w:b/>
          <w:sz w:val="24"/>
          <w:szCs w:val="24"/>
        </w:rPr>
        <w:t xml:space="preserve">Tabla </w:t>
      </w:r>
      <w:r w:rsidR="00CE09D2" w:rsidRPr="00CE09D2">
        <w:rPr>
          <w:rFonts w:ascii="Times New Roman" w:hAnsi="Times New Roman" w:cs="Times New Roman"/>
          <w:b/>
          <w:sz w:val="24"/>
          <w:szCs w:val="24"/>
        </w:rPr>
        <w:t>1</w:t>
      </w:r>
      <w:r w:rsidR="00CE09D2">
        <w:rPr>
          <w:rFonts w:ascii="Times New Roman" w:hAnsi="Times New Roman" w:cs="Times New Roman"/>
          <w:b/>
          <w:sz w:val="24"/>
          <w:szCs w:val="24"/>
        </w:rPr>
        <w:t>3</w:t>
      </w:r>
    </w:p>
    <w:p w14:paraId="7079CE2D" w14:textId="77777777" w:rsidR="003B67AC" w:rsidRPr="00CE09D2" w:rsidRDefault="003B67AC" w:rsidP="00CE09D2">
      <w:pPr>
        <w:spacing w:after="120" w:line="240" w:lineRule="auto"/>
        <w:jc w:val="both"/>
        <w:rPr>
          <w:rFonts w:ascii="Times New Roman" w:hAnsi="Times New Roman" w:cs="Times New Roman"/>
          <w:i/>
          <w:sz w:val="24"/>
          <w:szCs w:val="24"/>
        </w:rPr>
      </w:pPr>
      <w:r w:rsidRPr="00CE09D2">
        <w:rPr>
          <w:rFonts w:ascii="Times New Roman" w:hAnsi="Times New Roman" w:cs="Times New Roman"/>
          <w:i/>
          <w:sz w:val="24"/>
          <w:szCs w:val="24"/>
        </w:rPr>
        <w:t>Niveles de dominio por rangos de puntaje del cuestionario.</w:t>
      </w:r>
    </w:p>
    <w:tbl>
      <w:tblPr>
        <w:tblW w:w="8794" w:type="dxa"/>
        <w:tblBorders>
          <w:top w:val="single" w:sz="4" w:space="0" w:color="auto"/>
          <w:bottom w:val="single" w:sz="4" w:space="0" w:color="auto"/>
          <w:insideH w:val="single" w:sz="4" w:space="0" w:color="FFFFFF" w:themeColor="background1"/>
        </w:tblBorders>
        <w:tblLayout w:type="fixed"/>
        <w:tblCellMar>
          <w:left w:w="0" w:type="dxa"/>
          <w:right w:w="0" w:type="dxa"/>
        </w:tblCellMar>
        <w:tblLook w:val="0000" w:firstRow="0" w:lastRow="0" w:firstColumn="0" w:lastColumn="0" w:noHBand="0" w:noVBand="0"/>
      </w:tblPr>
      <w:tblGrid>
        <w:gridCol w:w="1990"/>
        <w:gridCol w:w="2268"/>
        <w:gridCol w:w="2268"/>
        <w:gridCol w:w="2268"/>
      </w:tblGrid>
      <w:tr w:rsidR="003B67AC" w:rsidRPr="003B67AC" w14:paraId="507248F2" w14:textId="77777777" w:rsidTr="00797524">
        <w:trPr>
          <w:cantSplit/>
        </w:trPr>
        <w:tc>
          <w:tcPr>
            <w:tcW w:w="1990" w:type="dxa"/>
            <w:shd w:val="clear" w:color="auto" w:fill="FFFFFF" w:themeFill="background1"/>
            <w:vAlign w:val="center"/>
          </w:tcPr>
          <w:p w14:paraId="0BE7826C"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Nivel de dominio</w:t>
            </w:r>
          </w:p>
        </w:tc>
        <w:tc>
          <w:tcPr>
            <w:tcW w:w="2268" w:type="dxa"/>
            <w:shd w:val="clear" w:color="auto" w:fill="FFFFFF" w:themeFill="background1"/>
          </w:tcPr>
          <w:p w14:paraId="4B8321CE"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Factor Planea</w:t>
            </w:r>
          </w:p>
        </w:tc>
        <w:tc>
          <w:tcPr>
            <w:tcW w:w="2268" w:type="dxa"/>
            <w:shd w:val="clear" w:color="auto" w:fill="FFFFFF" w:themeFill="background1"/>
          </w:tcPr>
          <w:p w14:paraId="00B4BB00"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Factor Modela</w:t>
            </w:r>
          </w:p>
        </w:tc>
        <w:tc>
          <w:tcPr>
            <w:tcW w:w="2268" w:type="dxa"/>
            <w:shd w:val="clear" w:color="auto" w:fill="FFFFFF" w:themeFill="background1"/>
          </w:tcPr>
          <w:p w14:paraId="30769657"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Puntaje total</w:t>
            </w:r>
          </w:p>
        </w:tc>
      </w:tr>
      <w:tr w:rsidR="003B67AC" w:rsidRPr="003B67AC" w14:paraId="44C3B861" w14:textId="77777777" w:rsidTr="00797524">
        <w:trPr>
          <w:cantSplit/>
        </w:trPr>
        <w:tc>
          <w:tcPr>
            <w:tcW w:w="1990" w:type="dxa"/>
            <w:shd w:val="clear" w:color="auto" w:fill="F2F2F2" w:themeFill="background1" w:themeFillShade="F2"/>
            <w:vAlign w:val="center"/>
          </w:tcPr>
          <w:p w14:paraId="4B6539E0"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Bajo</w:t>
            </w:r>
          </w:p>
        </w:tc>
        <w:tc>
          <w:tcPr>
            <w:tcW w:w="2268" w:type="dxa"/>
            <w:shd w:val="clear" w:color="auto" w:fill="F2F2F2" w:themeFill="background1" w:themeFillShade="F2"/>
          </w:tcPr>
          <w:p w14:paraId="056A3353"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0-17</w:t>
            </w:r>
          </w:p>
        </w:tc>
        <w:tc>
          <w:tcPr>
            <w:tcW w:w="2268" w:type="dxa"/>
            <w:shd w:val="clear" w:color="auto" w:fill="F2F2F2" w:themeFill="background1" w:themeFillShade="F2"/>
          </w:tcPr>
          <w:p w14:paraId="563FAEAC"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0-28</w:t>
            </w:r>
          </w:p>
        </w:tc>
        <w:tc>
          <w:tcPr>
            <w:tcW w:w="2268" w:type="dxa"/>
            <w:shd w:val="clear" w:color="auto" w:fill="F2F2F2" w:themeFill="background1" w:themeFillShade="F2"/>
          </w:tcPr>
          <w:p w14:paraId="641CED2D"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0-45</w:t>
            </w:r>
          </w:p>
        </w:tc>
      </w:tr>
      <w:tr w:rsidR="003B67AC" w:rsidRPr="003B67AC" w14:paraId="019F5577" w14:textId="77777777" w:rsidTr="00797524">
        <w:trPr>
          <w:cantSplit/>
        </w:trPr>
        <w:tc>
          <w:tcPr>
            <w:tcW w:w="1990" w:type="dxa"/>
            <w:shd w:val="clear" w:color="auto" w:fill="D9D9D9" w:themeFill="background1" w:themeFillShade="D9"/>
            <w:vAlign w:val="center"/>
          </w:tcPr>
          <w:p w14:paraId="238543B2"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Medio</w:t>
            </w:r>
          </w:p>
        </w:tc>
        <w:tc>
          <w:tcPr>
            <w:tcW w:w="2268" w:type="dxa"/>
            <w:shd w:val="clear" w:color="auto" w:fill="D9D9D9" w:themeFill="background1" w:themeFillShade="D9"/>
          </w:tcPr>
          <w:p w14:paraId="4A82D111"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17-25</w:t>
            </w:r>
          </w:p>
        </w:tc>
        <w:tc>
          <w:tcPr>
            <w:tcW w:w="2268" w:type="dxa"/>
            <w:shd w:val="clear" w:color="auto" w:fill="D9D9D9" w:themeFill="background1" w:themeFillShade="D9"/>
          </w:tcPr>
          <w:p w14:paraId="179B4502"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28-40</w:t>
            </w:r>
          </w:p>
        </w:tc>
        <w:tc>
          <w:tcPr>
            <w:tcW w:w="2268" w:type="dxa"/>
            <w:shd w:val="clear" w:color="auto" w:fill="D9D9D9" w:themeFill="background1" w:themeFillShade="D9"/>
          </w:tcPr>
          <w:p w14:paraId="3AB30A4F"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45-65</w:t>
            </w:r>
          </w:p>
        </w:tc>
      </w:tr>
      <w:tr w:rsidR="003B67AC" w:rsidRPr="003B67AC" w14:paraId="71EE3162" w14:textId="77777777" w:rsidTr="00797524">
        <w:trPr>
          <w:cantSplit/>
        </w:trPr>
        <w:tc>
          <w:tcPr>
            <w:tcW w:w="1990" w:type="dxa"/>
            <w:shd w:val="clear" w:color="auto" w:fill="BFBFBF" w:themeFill="background1" w:themeFillShade="BF"/>
            <w:vAlign w:val="center"/>
          </w:tcPr>
          <w:p w14:paraId="589E64C3"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Alto</w:t>
            </w:r>
          </w:p>
        </w:tc>
        <w:tc>
          <w:tcPr>
            <w:tcW w:w="2268" w:type="dxa"/>
            <w:shd w:val="clear" w:color="auto" w:fill="BFBFBF" w:themeFill="background1" w:themeFillShade="BF"/>
          </w:tcPr>
          <w:p w14:paraId="4F8C5EF6"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 xml:space="preserve">25-27 </w:t>
            </w:r>
          </w:p>
        </w:tc>
        <w:tc>
          <w:tcPr>
            <w:tcW w:w="2268" w:type="dxa"/>
            <w:shd w:val="clear" w:color="auto" w:fill="BFBFBF" w:themeFill="background1" w:themeFillShade="BF"/>
          </w:tcPr>
          <w:p w14:paraId="5723EBAB"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40-45</w:t>
            </w:r>
          </w:p>
        </w:tc>
        <w:tc>
          <w:tcPr>
            <w:tcW w:w="2268" w:type="dxa"/>
            <w:shd w:val="clear" w:color="auto" w:fill="BFBFBF" w:themeFill="background1" w:themeFillShade="BF"/>
          </w:tcPr>
          <w:p w14:paraId="1814D2F8" w14:textId="77777777" w:rsidR="003B67AC" w:rsidRPr="0009078B" w:rsidRDefault="003B67AC" w:rsidP="0009078B">
            <w:pPr>
              <w:pStyle w:val="Default"/>
              <w:jc w:val="both"/>
              <w:rPr>
                <w:rFonts w:ascii="Times New Roman" w:hAnsi="Times New Roman" w:cs="Times New Roman"/>
                <w:sz w:val="20"/>
                <w:szCs w:val="20"/>
                <w:lang w:val="es-MX"/>
              </w:rPr>
            </w:pPr>
            <w:r w:rsidRPr="0009078B">
              <w:rPr>
                <w:rFonts w:ascii="Times New Roman" w:hAnsi="Times New Roman" w:cs="Times New Roman"/>
                <w:sz w:val="20"/>
                <w:szCs w:val="20"/>
                <w:lang w:val="es-MX"/>
              </w:rPr>
              <w:t>65-72</w:t>
            </w:r>
          </w:p>
        </w:tc>
      </w:tr>
    </w:tbl>
    <w:p w14:paraId="59E96CC5" w14:textId="77777777" w:rsidR="003B67AC" w:rsidRPr="003B67AC" w:rsidRDefault="003B67AC" w:rsidP="003B67AC">
      <w:pPr>
        <w:spacing w:before="120" w:after="120" w:line="240" w:lineRule="auto"/>
        <w:ind w:firstLine="708"/>
        <w:jc w:val="both"/>
        <w:rPr>
          <w:rFonts w:ascii="Times New Roman" w:hAnsi="Times New Roman" w:cs="Times New Roman"/>
          <w:sz w:val="24"/>
          <w:szCs w:val="24"/>
        </w:rPr>
      </w:pPr>
      <w:r w:rsidRPr="0009078B">
        <w:rPr>
          <w:rFonts w:ascii="Times New Roman" w:hAnsi="Times New Roman" w:cs="Times New Roman"/>
          <w:sz w:val="18"/>
          <w:szCs w:val="18"/>
        </w:rPr>
        <w:t>Nota: elaboración propia.</w:t>
      </w:r>
    </w:p>
    <w:p w14:paraId="6AFE9842" w14:textId="1E4A710F" w:rsidR="003B67AC" w:rsidRPr="003B67AC" w:rsidRDefault="003B67AC" w:rsidP="003B67AC">
      <w:pPr>
        <w:spacing w:before="120" w:after="120" w:line="240" w:lineRule="auto"/>
        <w:ind w:firstLine="708"/>
        <w:jc w:val="both"/>
        <w:rPr>
          <w:rFonts w:ascii="Times New Roman" w:hAnsi="Times New Roman" w:cs="Times New Roman"/>
          <w:sz w:val="24"/>
          <w:szCs w:val="24"/>
        </w:rPr>
      </w:pPr>
      <w:r w:rsidRPr="003B67AC">
        <w:rPr>
          <w:rFonts w:ascii="Times New Roman" w:hAnsi="Times New Roman" w:cs="Times New Roman"/>
          <w:sz w:val="24"/>
          <w:szCs w:val="24"/>
        </w:rPr>
        <w:t>Para el dominio Planeación y evaluación de la supervisión, que se refiere a las competencias que los supervisores clínicos en medicina deben de tener para planificar y evaluar la supervisión clínica, se utiliza un rango de puntuación que va de cero a 27 y se subdivide en tres niveles de dominio.</w:t>
      </w:r>
    </w:p>
    <w:p w14:paraId="3554B11B" w14:textId="77777777" w:rsidR="003B67AC" w:rsidRPr="003B67AC" w:rsidRDefault="003B67AC" w:rsidP="003B67AC">
      <w:pPr>
        <w:spacing w:before="120" w:after="120" w:line="240" w:lineRule="auto"/>
        <w:ind w:firstLine="708"/>
        <w:jc w:val="both"/>
        <w:rPr>
          <w:rFonts w:ascii="Times New Roman" w:hAnsi="Times New Roman" w:cs="Times New Roman"/>
          <w:sz w:val="24"/>
          <w:szCs w:val="24"/>
        </w:rPr>
      </w:pPr>
      <w:r w:rsidRPr="003B67AC">
        <w:rPr>
          <w:rFonts w:ascii="Times New Roman" w:hAnsi="Times New Roman" w:cs="Times New Roman"/>
          <w:sz w:val="24"/>
          <w:szCs w:val="24"/>
        </w:rPr>
        <w:t>Por su parte, el dominio Modelación de la intervención clínica se refiere al desarrollo de las actividades propias de la supervisión en el contexto específico de trabajo y se fundamenta esencialmente en el modelaje de los desempeños de los supervisados. El rango de puntuación que se considera para este dominio en el cuestionario desarrollado va de cero a 45 puntos y se subdivide en tres niveles de dominio.</w:t>
      </w:r>
    </w:p>
    <w:p w14:paraId="7E70F4AD" w14:textId="726B8585" w:rsidR="00BB1A86" w:rsidRDefault="00BB1A86" w:rsidP="00DD794A">
      <w:pPr>
        <w:spacing w:before="120" w:after="120" w:line="240" w:lineRule="auto"/>
        <w:ind w:firstLine="708"/>
        <w:jc w:val="both"/>
        <w:rPr>
          <w:rFonts w:ascii="Times New Roman" w:hAnsi="Times New Roman" w:cs="Times New Roman"/>
          <w:sz w:val="24"/>
          <w:szCs w:val="24"/>
        </w:rPr>
      </w:pPr>
      <w:r w:rsidRPr="00AB0274">
        <w:rPr>
          <w:rFonts w:ascii="Times New Roman" w:hAnsi="Times New Roman" w:cs="Times New Roman"/>
          <w:sz w:val="24"/>
          <w:szCs w:val="24"/>
        </w:rPr>
        <w:t xml:space="preserve">Por </w:t>
      </w:r>
      <w:r w:rsidR="00054F04">
        <w:rPr>
          <w:rFonts w:ascii="Times New Roman" w:hAnsi="Times New Roman" w:cs="Times New Roman"/>
          <w:sz w:val="24"/>
          <w:szCs w:val="24"/>
        </w:rPr>
        <w:t>último</w:t>
      </w:r>
      <w:r w:rsidRPr="00AB0274">
        <w:rPr>
          <w:rFonts w:ascii="Times New Roman" w:hAnsi="Times New Roman" w:cs="Times New Roman"/>
          <w:sz w:val="24"/>
          <w:szCs w:val="24"/>
        </w:rPr>
        <w:t>, de acuerdo con la información empírica recabada a partir de las declaraciones de los supervisores consultados en el desarrollo de la investigación, la supervisión clínica obedece a un modelo de independencia progresiva, esto es, los estudiantes inician su proceso de aprendizaje en los campos clínicos con un total control por parte del supervisor, y conforme van adquiriendo conocimientos y</w:t>
      </w:r>
      <w:r w:rsidR="0009078B">
        <w:rPr>
          <w:rFonts w:ascii="Times New Roman" w:hAnsi="Times New Roman" w:cs="Times New Roman"/>
          <w:sz w:val="24"/>
          <w:szCs w:val="24"/>
        </w:rPr>
        <w:t xml:space="preserve"> </w:t>
      </w:r>
      <w:r w:rsidRPr="00AB0274">
        <w:rPr>
          <w:rFonts w:ascii="Times New Roman" w:hAnsi="Times New Roman" w:cs="Times New Roman"/>
          <w:sz w:val="24"/>
          <w:szCs w:val="24"/>
        </w:rPr>
        <w:t>desarrollando habilidades, el control por parte de los supervisores disminuye paulatinamente.</w:t>
      </w:r>
    </w:p>
    <w:p w14:paraId="7E70F4AE" w14:textId="77777777" w:rsidR="00850B10" w:rsidRDefault="00850B10" w:rsidP="00DD794A">
      <w:pPr>
        <w:spacing w:before="120" w:after="120" w:line="240" w:lineRule="auto"/>
        <w:ind w:firstLine="708"/>
        <w:jc w:val="both"/>
        <w:rPr>
          <w:rFonts w:ascii="Times New Roman" w:hAnsi="Times New Roman" w:cs="Times New Roman"/>
          <w:sz w:val="24"/>
          <w:szCs w:val="24"/>
        </w:rPr>
      </w:pPr>
    </w:p>
    <w:p w14:paraId="7E70F4AF" w14:textId="77777777" w:rsidR="00850B10" w:rsidRPr="00797524" w:rsidRDefault="00850B10" w:rsidP="00DD794A">
      <w:pPr>
        <w:spacing w:before="120" w:after="120" w:line="240" w:lineRule="auto"/>
        <w:ind w:firstLine="708"/>
        <w:jc w:val="both"/>
        <w:rPr>
          <w:rFonts w:ascii="Times New Roman" w:hAnsi="Times New Roman" w:cs="Times New Roman"/>
          <w:b/>
          <w:bCs/>
          <w:lang w:val="en-US"/>
        </w:rPr>
      </w:pPr>
      <w:proofErr w:type="spellStart"/>
      <w:r w:rsidRPr="00797524">
        <w:rPr>
          <w:rFonts w:ascii="Times New Roman" w:hAnsi="Times New Roman" w:cs="Times New Roman"/>
          <w:b/>
          <w:bCs/>
          <w:lang w:val="en-US"/>
        </w:rPr>
        <w:t>Referencias</w:t>
      </w:r>
      <w:proofErr w:type="spellEnd"/>
      <w:r w:rsidRPr="00797524">
        <w:rPr>
          <w:rFonts w:ascii="Times New Roman" w:hAnsi="Times New Roman" w:cs="Times New Roman"/>
          <w:b/>
          <w:bCs/>
          <w:lang w:val="en-US"/>
        </w:rPr>
        <w:t xml:space="preserve"> </w:t>
      </w:r>
    </w:p>
    <w:p w14:paraId="7E70F4B0" w14:textId="77777777" w:rsidR="00B84B33" w:rsidRPr="00DD794A" w:rsidRDefault="00B84B33" w:rsidP="00DD794A">
      <w:pPr>
        <w:spacing w:before="120" w:after="120" w:line="240" w:lineRule="auto"/>
        <w:ind w:left="709" w:hanging="709"/>
        <w:rPr>
          <w:rFonts w:ascii="Times New Roman" w:hAnsi="Times New Roman"/>
          <w:sz w:val="24"/>
          <w:szCs w:val="24"/>
        </w:rPr>
      </w:pPr>
      <w:proofErr w:type="spellStart"/>
      <w:proofErr w:type="gramStart"/>
      <w:r w:rsidRPr="00DD794A">
        <w:rPr>
          <w:rFonts w:ascii="Times New Roman" w:hAnsi="Times New Roman"/>
          <w:sz w:val="24"/>
          <w:szCs w:val="24"/>
          <w:lang w:val="en-US"/>
        </w:rPr>
        <w:t>Cruess</w:t>
      </w:r>
      <w:proofErr w:type="spellEnd"/>
      <w:r w:rsidRPr="00DD794A">
        <w:rPr>
          <w:rFonts w:ascii="Times New Roman" w:hAnsi="Times New Roman"/>
          <w:sz w:val="24"/>
          <w:szCs w:val="24"/>
          <w:lang w:val="en-US"/>
        </w:rPr>
        <w:t xml:space="preserve">, S., </w:t>
      </w:r>
      <w:proofErr w:type="spellStart"/>
      <w:r w:rsidRPr="00DD794A">
        <w:rPr>
          <w:rFonts w:ascii="Times New Roman" w:hAnsi="Times New Roman"/>
          <w:sz w:val="24"/>
          <w:szCs w:val="24"/>
          <w:lang w:val="en-US"/>
        </w:rPr>
        <w:t>Cruess</w:t>
      </w:r>
      <w:proofErr w:type="spellEnd"/>
      <w:r w:rsidRPr="00DD794A">
        <w:rPr>
          <w:rFonts w:ascii="Times New Roman" w:hAnsi="Times New Roman"/>
          <w:sz w:val="24"/>
          <w:szCs w:val="24"/>
          <w:lang w:val="en-US"/>
        </w:rPr>
        <w:t xml:space="preserve">, R., y </w:t>
      </w:r>
      <w:proofErr w:type="spellStart"/>
      <w:r w:rsidRPr="00DD794A">
        <w:rPr>
          <w:rFonts w:ascii="Times New Roman" w:hAnsi="Times New Roman"/>
          <w:sz w:val="24"/>
          <w:szCs w:val="24"/>
          <w:lang w:val="en-US"/>
        </w:rPr>
        <w:t>Steinert</w:t>
      </w:r>
      <w:proofErr w:type="spellEnd"/>
      <w:r w:rsidRPr="00DD794A">
        <w:rPr>
          <w:rFonts w:ascii="Times New Roman" w:hAnsi="Times New Roman"/>
          <w:sz w:val="24"/>
          <w:szCs w:val="24"/>
          <w:lang w:val="en-US"/>
        </w:rPr>
        <w:t>, Y. (2008).</w:t>
      </w:r>
      <w:proofErr w:type="gramEnd"/>
      <w:r w:rsidRPr="00DD794A">
        <w:rPr>
          <w:rFonts w:ascii="Times New Roman" w:hAnsi="Times New Roman"/>
          <w:sz w:val="24"/>
          <w:szCs w:val="24"/>
          <w:lang w:val="en-US"/>
        </w:rPr>
        <w:t xml:space="preserve"> </w:t>
      </w:r>
      <w:proofErr w:type="gramStart"/>
      <w:r w:rsidRPr="00D03195">
        <w:rPr>
          <w:rFonts w:ascii="Times New Roman" w:hAnsi="Times New Roman"/>
          <w:sz w:val="24"/>
          <w:szCs w:val="24"/>
          <w:lang w:val="en-US"/>
        </w:rPr>
        <w:t>Role modeling-making the most powerful teaching strategy.</w:t>
      </w:r>
      <w:proofErr w:type="gramEnd"/>
      <w:r w:rsidRPr="00D03195">
        <w:rPr>
          <w:rFonts w:ascii="Times New Roman" w:hAnsi="Times New Roman"/>
          <w:sz w:val="24"/>
          <w:szCs w:val="24"/>
          <w:lang w:val="en-US"/>
        </w:rPr>
        <w:t xml:space="preserve"> </w:t>
      </w:r>
      <w:r w:rsidRPr="00DD794A">
        <w:rPr>
          <w:rFonts w:ascii="Times New Roman" w:hAnsi="Times New Roman"/>
          <w:i/>
          <w:sz w:val="24"/>
          <w:szCs w:val="24"/>
        </w:rPr>
        <w:t>British Medicine Journal</w:t>
      </w:r>
      <w:r w:rsidRPr="00DD794A">
        <w:rPr>
          <w:rFonts w:ascii="Times New Roman" w:hAnsi="Times New Roman"/>
          <w:sz w:val="24"/>
          <w:szCs w:val="24"/>
        </w:rPr>
        <w:t xml:space="preserve">, 336: 718-721. doi:10.1136/bmj.39503.757847.BE </w:t>
      </w:r>
    </w:p>
    <w:p w14:paraId="7E70F4B1" w14:textId="77777777" w:rsidR="00B84B33" w:rsidRPr="00D03195" w:rsidRDefault="00B84B33" w:rsidP="00DD794A">
      <w:pPr>
        <w:spacing w:before="120" w:after="120" w:line="240" w:lineRule="auto"/>
        <w:ind w:left="709" w:hanging="709"/>
        <w:rPr>
          <w:rFonts w:ascii="Times New Roman" w:hAnsi="Times New Roman"/>
          <w:sz w:val="24"/>
          <w:szCs w:val="24"/>
        </w:rPr>
      </w:pPr>
      <w:r w:rsidRPr="00DD794A">
        <w:rPr>
          <w:rFonts w:ascii="Times New Roman" w:hAnsi="Times New Roman"/>
          <w:sz w:val="24"/>
          <w:szCs w:val="24"/>
        </w:rPr>
        <w:t xml:space="preserve">Durante, E. (2006). </w:t>
      </w:r>
      <w:r w:rsidRPr="00D03195">
        <w:rPr>
          <w:rFonts w:ascii="Times New Roman" w:hAnsi="Times New Roman"/>
          <w:sz w:val="24"/>
          <w:szCs w:val="24"/>
        </w:rPr>
        <w:t xml:space="preserve">Algunos métodos de evaluación de las competencias: escalando la pirámide de Miller. </w:t>
      </w:r>
      <w:r w:rsidRPr="00D03195">
        <w:rPr>
          <w:rFonts w:ascii="Times New Roman" w:hAnsi="Times New Roman"/>
          <w:i/>
          <w:sz w:val="24"/>
          <w:szCs w:val="24"/>
        </w:rPr>
        <w:t>Revista Hospital Italiano</w:t>
      </w:r>
      <w:r w:rsidRPr="00D03195">
        <w:rPr>
          <w:rFonts w:ascii="Times New Roman" w:hAnsi="Times New Roman"/>
          <w:sz w:val="24"/>
          <w:szCs w:val="24"/>
        </w:rPr>
        <w:t xml:space="preserve">,  26 (2), 55-61. Recuperado de </w:t>
      </w:r>
      <w:hyperlink r:id="rId8" w:history="1">
        <w:r w:rsidRPr="00D03195">
          <w:rPr>
            <w:rStyle w:val="Hipervnculo"/>
            <w:rFonts w:ascii="Times New Roman" w:hAnsi="Times New Roman"/>
            <w:sz w:val="24"/>
            <w:szCs w:val="24"/>
          </w:rPr>
          <w:t>http://www.aspefam.org.pe/intranet/CEDOSA/metodo%20de%20evaluacion%20minicex.pdf</w:t>
        </w:r>
      </w:hyperlink>
    </w:p>
    <w:p w14:paraId="7E70F4B2" w14:textId="77777777" w:rsidR="00B84B33" w:rsidRPr="00DD794A" w:rsidRDefault="00B84B33" w:rsidP="00DD794A">
      <w:pPr>
        <w:spacing w:before="120" w:after="120" w:line="240" w:lineRule="auto"/>
        <w:ind w:left="709" w:hanging="709"/>
        <w:rPr>
          <w:rFonts w:ascii="Times New Roman" w:hAnsi="Times New Roman"/>
          <w:sz w:val="24"/>
          <w:szCs w:val="24"/>
          <w:lang w:val="en-US"/>
        </w:rPr>
      </w:pPr>
      <w:r w:rsidRPr="00D03195">
        <w:rPr>
          <w:rFonts w:ascii="Times New Roman" w:hAnsi="Times New Roman"/>
          <w:sz w:val="24"/>
          <w:szCs w:val="24"/>
          <w:lang w:val="en-US"/>
        </w:rPr>
        <w:t xml:space="preserve">Epstein, R. (2007). </w:t>
      </w:r>
      <w:proofErr w:type="gramStart"/>
      <w:r w:rsidRPr="00D03195">
        <w:rPr>
          <w:rFonts w:ascii="Times New Roman" w:hAnsi="Times New Roman"/>
          <w:sz w:val="24"/>
          <w:szCs w:val="24"/>
          <w:lang w:val="en-US"/>
        </w:rPr>
        <w:t>Assessment in medical education.</w:t>
      </w:r>
      <w:proofErr w:type="gramEnd"/>
      <w:r w:rsidRPr="00D03195">
        <w:rPr>
          <w:rFonts w:ascii="Times New Roman" w:hAnsi="Times New Roman"/>
          <w:sz w:val="24"/>
          <w:szCs w:val="24"/>
          <w:lang w:val="en-US"/>
        </w:rPr>
        <w:t xml:space="preserve"> </w:t>
      </w:r>
      <w:r w:rsidRPr="00D03195">
        <w:rPr>
          <w:rFonts w:ascii="Times New Roman" w:hAnsi="Times New Roman"/>
          <w:i/>
          <w:sz w:val="24"/>
          <w:szCs w:val="24"/>
          <w:lang w:val="en-US"/>
        </w:rPr>
        <w:t>New England Journal of Medicine</w:t>
      </w:r>
      <w:r w:rsidRPr="00D03195">
        <w:rPr>
          <w:rFonts w:ascii="Times New Roman" w:hAnsi="Times New Roman"/>
          <w:sz w:val="24"/>
          <w:szCs w:val="24"/>
          <w:lang w:val="en-US"/>
        </w:rPr>
        <w:t xml:space="preserve">, 356 (4): 387-396. </w:t>
      </w:r>
      <w:r w:rsidRPr="00DD794A">
        <w:rPr>
          <w:rFonts w:ascii="Times New Roman" w:hAnsi="Times New Roman"/>
          <w:sz w:val="24"/>
          <w:szCs w:val="24"/>
          <w:lang w:val="en-US"/>
        </w:rPr>
        <w:t xml:space="preserve">DOI: </w:t>
      </w:r>
      <w:r w:rsidRPr="00DD794A">
        <w:rPr>
          <w:rFonts w:ascii="Times New Roman" w:hAnsi="Times New Roman"/>
          <w:sz w:val="24"/>
          <w:szCs w:val="24"/>
          <w:shd w:val="clear" w:color="auto" w:fill="FFFFFF"/>
          <w:lang w:val="en-US"/>
        </w:rPr>
        <w:t xml:space="preserve">10.1056/NEJMra054784. </w:t>
      </w:r>
    </w:p>
    <w:p w14:paraId="7E70F4B3" w14:textId="77777777" w:rsidR="00B84B33" w:rsidRPr="00DD794A" w:rsidRDefault="00B84B33" w:rsidP="00DD794A">
      <w:pPr>
        <w:spacing w:before="120" w:after="120" w:line="240" w:lineRule="auto"/>
        <w:ind w:left="709" w:hanging="709"/>
        <w:rPr>
          <w:rStyle w:val="Hipervnculo"/>
          <w:rFonts w:ascii="Times New Roman" w:hAnsi="Times New Roman"/>
          <w:sz w:val="24"/>
          <w:szCs w:val="24"/>
          <w:lang w:val="en-US"/>
        </w:rPr>
      </w:pPr>
      <w:proofErr w:type="spellStart"/>
      <w:r w:rsidRPr="00D03195">
        <w:rPr>
          <w:rFonts w:ascii="Times New Roman" w:hAnsi="Times New Roman"/>
          <w:sz w:val="24"/>
          <w:szCs w:val="24"/>
          <w:lang w:val="en-US"/>
        </w:rPr>
        <w:t>Falender</w:t>
      </w:r>
      <w:proofErr w:type="spellEnd"/>
      <w:r w:rsidRPr="00D03195">
        <w:rPr>
          <w:rFonts w:ascii="Times New Roman" w:hAnsi="Times New Roman"/>
          <w:sz w:val="24"/>
          <w:szCs w:val="24"/>
          <w:lang w:val="en-US"/>
        </w:rPr>
        <w:t xml:space="preserve">, C. A. y </w:t>
      </w:r>
      <w:proofErr w:type="spellStart"/>
      <w:r w:rsidRPr="00D03195">
        <w:rPr>
          <w:rFonts w:ascii="Times New Roman" w:hAnsi="Times New Roman"/>
          <w:sz w:val="24"/>
          <w:szCs w:val="24"/>
          <w:lang w:val="en-US"/>
        </w:rPr>
        <w:t>Shafranske</w:t>
      </w:r>
      <w:proofErr w:type="spellEnd"/>
      <w:r w:rsidRPr="00D03195">
        <w:rPr>
          <w:rFonts w:ascii="Times New Roman" w:hAnsi="Times New Roman"/>
          <w:sz w:val="24"/>
          <w:szCs w:val="24"/>
          <w:lang w:val="en-US"/>
        </w:rPr>
        <w:t xml:space="preserve">, E. P. (2004). </w:t>
      </w:r>
      <w:proofErr w:type="gramStart"/>
      <w:r w:rsidRPr="00D03195">
        <w:rPr>
          <w:rFonts w:ascii="Times New Roman" w:hAnsi="Times New Roman"/>
          <w:i/>
          <w:sz w:val="24"/>
          <w:szCs w:val="24"/>
          <w:lang w:val="en-US"/>
        </w:rPr>
        <w:t>Clinical supervision a competency-based approach</w:t>
      </w:r>
      <w:r w:rsidRPr="00D03195">
        <w:rPr>
          <w:rFonts w:ascii="Times New Roman" w:hAnsi="Times New Roman"/>
          <w:sz w:val="24"/>
          <w:szCs w:val="24"/>
          <w:lang w:val="en-US"/>
        </w:rPr>
        <w:t>.</w:t>
      </w:r>
      <w:proofErr w:type="gramEnd"/>
      <w:r w:rsidRPr="00D03195">
        <w:rPr>
          <w:rFonts w:ascii="Times New Roman" w:hAnsi="Times New Roman"/>
          <w:sz w:val="24"/>
          <w:szCs w:val="24"/>
          <w:lang w:val="en-US"/>
        </w:rPr>
        <w:t xml:space="preserve"> </w:t>
      </w:r>
      <w:r w:rsidRPr="00DD794A">
        <w:rPr>
          <w:rFonts w:ascii="Times New Roman" w:hAnsi="Times New Roman"/>
          <w:sz w:val="24"/>
          <w:szCs w:val="24"/>
          <w:lang w:val="en-US"/>
        </w:rPr>
        <w:t xml:space="preserve">Washington, DC: American Psychological Association. </w:t>
      </w:r>
    </w:p>
    <w:p w14:paraId="7E70F4B4" w14:textId="77777777" w:rsidR="00B84B33" w:rsidRPr="00D6264E" w:rsidRDefault="00B84B33" w:rsidP="00DD794A">
      <w:pPr>
        <w:spacing w:before="120" w:after="120" w:line="240" w:lineRule="auto"/>
        <w:ind w:left="709" w:hanging="709"/>
        <w:rPr>
          <w:rFonts w:ascii="Times New Roman" w:hAnsi="Times New Roman"/>
          <w:sz w:val="24"/>
          <w:szCs w:val="24"/>
          <w:lang w:val="en-US"/>
        </w:rPr>
      </w:pPr>
      <w:proofErr w:type="spellStart"/>
      <w:r w:rsidRPr="00D03195">
        <w:rPr>
          <w:rFonts w:ascii="Times New Roman" w:hAnsi="Times New Roman"/>
          <w:sz w:val="24"/>
          <w:szCs w:val="24"/>
          <w:lang w:val="en-US"/>
        </w:rPr>
        <w:lastRenderedPageBreak/>
        <w:t>Fluit</w:t>
      </w:r>
      <w:proofErr w:type="spellEnd"/>
      <w:r w:rsidRPr="00D03195">
        <w:rPr>
          <w:rFonts w:ascii="Times New Roman" w:hAnsi="Times New Roman"/>
          <w:sz w:val="24"/>
          <w:szCs w:val="24"/>
          <w:lang w:val="en-US"/>
        </w:rPr>
        <w:t xml:space="preserve">, C., </w:t>
      </w:r>
      <w:proofErr w:type="spellStart"/>
      <w:r w:rsidRPr="00D03195">
        <w:rPr>
          <w:rFonts w:ascii="Times New Roman" w:hAnsi="Times New Roman"/>
          <w:sz w:val="24"/>
          <w:szCs w:val="24"/>
          <w:lang w:val="en-US"/>
        </w:rPr>
        <w:t>Bolhuis</w:t>
      </w:r>
      <w:proofErr w:type="spellEnd"/>
      <w:r w:rsidRPr="00D03195">
        <w:rPr>
          <w:rFonts w:ascii="Times New Roman" w:hAnsi="Times New Roman"/>
          <w:sz w:val="24"/>
          <w:szCs w:val="24"/>
          <w:lang w:val="en-US"/>
        </w:rPr>
        <w:t xml:space="preserve">, S., </w:t>
      </w:r>
      <w:proofErr w:type="spellStart"/>
      <w:r w:rsidRPr="00D03195">
        <w:rPr>
          <w:rFonts w:ascii="Times New Roman" w:hAnsi="Times New Roman"/>
          <w:sz w:val="24"/>
          <w:szCs w:val="24"/>
          <w:lang w:val="en-US"/>
        </w:rPr>
        <w:t>Grol</w:t>
      </w:r>
      <w:proofErr w:type="spellEnd"/>
      <w:r w:rsidRPr="00D03195">
        <w:rPr>
          <w:rFonts w:ascii="Times New Roman" w:hAnsi="Times New Roman"/>
          <w:sz w:val="24"/>
          <w:szCs w:val="24"/>
          <w:lang w:val="en-US"/>
        </w:rPr>
        <w:t xml:space="preserve">, R., </w:t>
      </w:r>
      <w:proofErr w:type="spellStart"/>
      <w:r w:rsidRPr="00D03195">
        <w:rPr>
          <w:rFonts w:ascii="Times New Roman" w:hAnsi="Times New Roman"/>
          <w:sz w:val="24"/>
          <w:szCs w:val="24"/>
          <w:lang w:val="en-US"/>
        </w:rPr>
        <w:t>Laan</w:t>
      </w:r>
      <w:proofErr w:type="spellEnd"/>
      <w:r w:rsidRPr="00D03195">
        <w:rPr>
          <w:rFonts w:ascii="Times New Roman" w:hAnsi="Times New Roman"/>
          <w:sz w:val="24"/>
          <w:szCs w:val="24"/>
          <w:lang w:val="en-US"/>
        </w:rPr>
        <w:t xml:space="preserve">, R. y </w:t>
      </w:r>
      <w:proofErr w:type="spellStart"/>
      <w:r w:rsidRPr="00D03195">
        <w:rPr>
          <w:rFonts w:ascii="Times New Roman" w:hAnsi="Times New Roman"/>
          <w:sz w:val="24"/>
          <w:szCs w:val="24"/>
          <w:lang w:val="en-US"/>
        </w:rPr>
        <w:t>Wensing</w:t>
      </w:r>
      <w:proofErr w:type="spellEnd"/>
      <w:r w:rsidRPr="00D03195">
        <w:rPr>
          <w:rFonts w:ascii="Times New Roman" w:hAnsi="Times New Roman"/>
          <w:sz w:val="24"/>
          <w:szCs w:val="24"/>
          <w:lang w:val="en-US"/>
        </w:rPr>
        <w:t xml:space="preserve">, M. (2010). </w:t>
      </w:r>
      <w:proofErr w:type="gramStart"/>
      <w:r w:rsidRPr="00D03195">
        <w:rPr>
          <w:rFonts w:ascii="Times New Roman" w:hAnsi="Times New Roman"/>
          <w:sz w:val="24"/>
          <w:szCs w:val="24"/>
          <w:lang w:val="en-US"/>
        </w:rPr>
        <w:t>Assessing the Quality of Clinical Teachers.</w:t>
      </w:r>
      <w:proofErr w:type="gramEnd"/>
      <w:r w:rsidRPr="00D03195">
        <w:rPr>
          <w:rFonts w:ascii="Times New Roman" w:hAnsi="Times New Roman"/>
          <w:i/>
          <w:sz w:val="24"/>
          <w:szCs w:val="24"/>
          <w:lang w:val="en-US"/>
        </w:rPr>
        <w:t xml:space="preserve"> Journal of General Internal Medicine</w:t>
      </w:r>
      <w:r w:rsidRPr="00D03195">
        <w:rPr>
          <w:rFonts w:ascii="Times New Roman" w:hAnsi="Times New Roman"/>
          <w:sz w:val="24"/>
          <w:szCs w:val="24"/>
          <w:lang w:val="en-US"/>
        </w:rPr>
        <w:t xml:space="preserve">, 25(12), 1337–1345. </w:t>
      </w:r>
      <w:proofErr w:type="spellStart"/>
      <w:r w:rsidRPr="00D6264E">
        <w:rPr>
          <w:rFonts w:ascii="Times New Roman" w:hAnsi="Times New Roman"/>
          <w:sz w:val="24"/>
          <w:szCs w:val="24"/>
          <w:lang w:val="en-US"/>
        </w:rPr>
        <w:t>Doi</w:t>
      </w:r>
      <w:proofErr w:type="spellEnd"/>
      <w:r w:rsidRPr="00D6264E">
        <w:rPr>
          <w:rFonts w:ascii="Times New Roman" w:hAnsi="Times New Roman"/>
          <w:sz w:val="24"/>
          <w:szCs w:val="24"/>
          <w:lang w:val="en-US"/>
        </w:rPr>
        <w:t>: 10.1007/s11606-010-1458-y</w:t>
      </w:r>
    </w:p>
    <w:p w14:paraId="7E70F4B5" w14:textId="77777777" w:rsidR="00B84B33" w:rsidRPr="00D03195" w:rsidRDefault="00B84B33" w:rsidP="00DD794A">
      <w:pPr>
        <w:spacing w:before="120" w:after="120" w:line="240" w:lineRule="auto"/>
        <w:ind w:left="709" w:hanging="709"/>
        <w:rPr>
          <w:rFonts w:ascii="Times New Roman" w:hAnsi="Times New Roman"/>
          <w:sz w:val="24"/>
          <w:szCs w:val="24"/>
        </w:rPr>
      </w:pPr>
      <w:proofErr w:type="spellStart"/>
      <w:r w:rsidRPr="00D6264E">
        <w:rPr>
          <w:rFonts w:ascii="Times New Roman" w:hAnsi="Times New Roman"/>
          <w:sz w:val="24"/>
          <w:szCs w:val="24"/>
          <w:lang w:val="en-US"/>
        </w:rPr>
        <w:t>Fornells-Vallés</w:t>
      </w:r>
      <w:proofErr w:type="spellEnd"/>
      <w:r w:rsidRPr="00D6264E">
        <w:rPr>
          <w:rFonts w:ascii="Times New Roman" w:hAnsi="Times New Roman"/>
          <w:sz w:val="24"/>
          <w:szCs w:val="24"/>
          <w:lang w:val="en-US"/>
        </w:rPr>
        <w:t xml:space="preserve">, J. (2009). </w:t>
      </w:r>
      <w:r w:rsidRPr="00D03195">
        <w:rPr>
          <w:rFonts w:ascii="Times New Roman" w:hAnsi="Times New Roman"/>
          <w:sz w:val="24"/>
          <w:szCs w:val="24"/>
        </w:rPr>
        <w:t xml:space="preserve">El ABC del Mini-CEX. </w:t>
      </w:r>
      <w:r w:rsidRPr="00D03195">
        <w:rPr>
          <w:rFonts w:ascii="Times New Roman" w:hAnsi="Times New Roman"/>
          <w:i/>
          <w:sz w:val="24"/>
          <w:szCs w:val="24"/>
        </w:rPr>
        <w:t>Educación Médica</w:t>
      </w:r>
      <w:r w:rsidRPr="00D03195">
        <w:rPr>
          <w:rFonts w:ascii="Times New Roman" w:hAnsi="Times New Roman"/>
          <w:sz w:val="24"/>
          <w:szCs w:val="24"/>
        </w:rPr>
        <w:t xml:space="preserve">, 12(2), 83-89. Recuperado de </w:t>
      </w:r>
      <w:hyperlink r:id="rId9" w:history="1">
        <w:r w:rsidRPr="00D03195">
          <w:rPr>
            <w:rStyle w:val="Hipervnculo"/>
            <w:rFonts w:ascii="Times New Roman" w:hAnsi="Times New Roman"/>
            <w:sz w:val="24"/>
            <w:szCs w:val="24"/>
          </w:rPr>
          <w:t>http://scielo.isciii.es/pdf/edu/v12n2/revision.pdf</w:t>
        </w:r>
      </w:hyperlink>
    </w:p>
    <w:p w14:paraId="7E70F4B6" w14:textId="77777777" w:rsidR="00B84B33" w:rsidRPr="00D03195" w:rsidRDefault="00B84B33" w:rsidP="00DD794A">
      <w:pPr>
        <w:spacing w:before="120" w:after="120" w:line="240" w:lineRule="auto"/>
        <w:ind w:left="709" w:hanging="709"/>
        <w:rPr>
          <w:rFonts w:ascii="Times New Roman" w:hAnsi="Times New Roman"/>
          <w:sz w:val="24"/>
          <w:szCs w:val="24"/>
        </w:rPr>
      </w:pPr>
      <w:bookmarkStart w:id="1" w:name="OLE_LINK1"/>
      <w:bookmarkStart w:id="2" w:name="OLE_LINK2"/>
      <w:r w:rsidRPr="00D03195">
        <w:rPr>
          <w:rFonts w:ascii="Times New Roman" w:hAnsi="Times New Roman"/>
          <w:sz w:val="24"/>
          <w:szCs w:val="24"/>
        </w:rPr>
        <w:t>García-Cabrero, B.</w:t>
      </w:r>
      <w:r>
        <w:rPr>
          <w:rFonts w:ascii="Times New Roman" w:hAnsi="Times New Roman"/>
          <w:sz w:val="24"/>
          <w:szCs w:val="24"/>
        </w:rPr>
        <w:t>,</w:t>
      </w:r>
      <w:r w:rsidRPr="00D03195">
        <w:rPr>
          <w:rFonts w:ascii="Times New Roman" w:hAnsi="Times New Roman"/>
          <w:sz w:val="24"/>
          <w:szCs w:val="24"/>
        </w:rPr>
        <w:t xml:space="preserve"> Loredo, J.</w:t>
      </w:r>
      <w:r>
        <w:rPr>
          <w:rFonts w:ascii="Times New Roman" w:hAnsi="Times New Roman"/>
          <w:sz w:val="24"/>
          <w:szCs w:val="24"/>
        </w:rPr>
        <w:t>,</w:t>
      </w:r>
      <w:r w:rsidRPr="00D03195">
        <w:rPr>
          <w:rFonts w:ascii="Times New Roman" w:hAnsi="Times New Roman"/>
          <w:sz w:val="24"/>
          <w:szCs w:val="24"/>
        </w:rPr>
        <w:t xml:space="preserve"> Luna, E. y Rueda, M. (2008). </w:t>
      </w:r>
      <w:bookmarkEnd w:id="1"/>
      <w:bookmarkEnd w:id="2"/>
      <w:r w:rsidRPr="00D03195">
        <w:rPr>
          <w:rFonts w:ascii="Times New Roman" w:hAnsi="Times New Roman"/>
          <w:sz w:val="24"/>
          <w:szCs w:val="24"/>
        </w:rPr>
        <w:t xml:space="preserve">Modelo de evaluación de competencias docentes para la educación media y superior. </w:t>
      </w:r>
      <w:r w:rsidRPr="00D03195">
        <w:rPr>
          <w:rFonts w:ascii="Times New Roman" w:hAnsi="Times New Roman"/>
          <w:i/>
          <w:sz w:val="24"/>
          <w:szCs w:val="24"/>
        </w:rPr>
        <w:t xml:space="preserve">Revista Iberoamericana de Evaluación Educativa, </w:t>
      </w:r>
      <w:r w:rsidRPr="00D03195">
        <w:rPr>
          <w:rFonts w:ascii="Times New Roman" w:hAnsi="Times New Roman"/>
          <w:sz w:val="24"/>
          <w:szCs w:val="24"/>
        </w:rPr>
        <w:t>Vol. 1 (3) 124-136.</w:t>
      </w:r>
    </w:p>
    <w:p w14:paraId="7E70F4B7" w14:textId="77777777" w:rsidR="00B84B33" w:rsidRPr="00D03195" w:rsidRDefault="00B84B33" w:rsidP="00DD794A">
      <w:pPr>
        <w:spacing w:before="120" w:after="120" w:line="240" w:lineRule="auto"/>
        <w:ind w:left="709" w:hanging="709"/>
        <w:rPr>
          <w:rFonts w:ascii="Times New Roman" w:hAnsi="Times New Roman"/>
          <w:sz w:val="24"/>
          <w:szCs w:val="24"/>
        </w:rPr>
      </w:pPr>
      <w:r w:rsidRPr="00D03195">
        <w:rPr>
          <w:rFonts w:ascii="Times New Roman" w:hAnsi="Times New Roman"/>
          <w:sz w:val="24"/>
          <w:szCs w:val="24"/>
        </w:rPr>
        <w:t>Gómez, V.</w:t>
      </w:r>
      <w:r>
        <w:rPr>
          <w:rFonts w:ascii="Times New Roman" w:hAnsi="Times New Roman"/>
          <w:sz w:val="24"/>
          <w:szCs w:val="24"/>
        </w:rPr>
        <w:t>,</w:t>
      </w:r>
      <w:r w:rsidRPr="00D03195">
        <w:rPr>
          <w:rFonts w:ascii="Times New Roman" w:hAnsi="Times New Roman"/>
          <w:sz w:val="24"/>
          <w:szCs w:val="24"/>
        </w:rPr>
        <w:t xml:space="preserve"> Rosales, S. y Vázquez, J. (2014). Validez y consistencia de un instrumento para evaluar la práctica docente en clínica médica de pregrado. </w:t>
      </w:r>
      <w:r w:rsidRPr="00D03195">
        <w:rPr>
          <w:rFonts w:ascii="Times New Roman" w:hAnsi="Times New Roman"/>
          <w:i/>
          <w:sz w:val="24"/>
          <w:szCs w:val="24"/>
        </w:rPr>
        <w:t>Revista Educación y Desarrollo</w:t>
      </w:r>
      <w:r w:rsidRPr="00D03195">
        <w:rPr>
          <w:rFonts w:ascii="Times New Roman" w:hAnsi="Times New Roman"/>
          <w:sz w:val="24"/>
          <w:szCs w:val="24"/>
        </w:rPr>
        <w:t xml:space="preserve">, 28(19), 15-20. Recuperado de </w:t>
      </w:r>
      <w:hyperlink r:id="rId10" w:history="1">
        <w:r w:rsidRPr="00D03195">
          <w:rPr>
            <w:rStyle w:val="Hipervnculo"/>
            <w:rFonts w:ascii="Times New Roman" w:hAnsi="Times New Roman"/>
            <w:sz w:val="24"/>
            <w:szCs w:val="24"/>
          </w:rPr>
          <w:t>http://www.cucs.udg.mx/revistas/edu_desarrollo/anteriores/28/028_Gomez.pdf</w:t>
        </w:r>
      </w:hyperlink>
    </w:p>
    <w:p w14:paraId="7E70F4B8" w14:textId="77777777" w:rsidR="00B84B33" w:rsidRPr="00D03195" w:rsidRDefault="00B84B33" w:rsidP="00DD794A">
      <w:pPr>
        <w:spacing w:before="120" w:after="120" w:line="240" w:lineRule="auto"/>
        <w:ind w:left="709" w:hanging="709"/>
        <w:rPr>
          <w:rFonts w:ascii="Times New Roman" w:hAnsi="Times New Roman"/>
          <w:sz w:val="24"/>
          <w:szCs w:val="24"/>
        </w:rPr>
      </w:pPr>
      <w:proofErr w:type="gramStart"/>
      <w:r w:rsidRPr="00D03195">
        <w:rPr>
          <w:rFonts w:ascii="Times New Roman" w:hAnsi="Times New Roman"/>
          <w:sz w:val="24"/>
          <w:szCs w:val="24"/>
          <w:lang w:val="en-US"/>
        </w:rPr>
        <w:t>Health and Human Services.</w:t>
      </w:r>
      <w:proofErr w:type="gramEnd"/>
      <w:r w:rsidRPr="00D03195">
        <w:rPr>
          <w:rFonts w:ascii="Times New Roman" w:hAnsi="Times New Roman"/>
          <w:sz w:val="24"/>
          <w:szCs w:val="24"/>
          <w:lang w:val="en-US"/>
        </w:rPr>
        <w:t xml:space="preserve"> (</w:t>
      </w:r>
      <w:proofErr w:type="gramStart"/>
      <w:r w:rsidRPr="00D03195">
        <w:rPr>
          <w:rFonts w:ascii="Times New Roman" w:hAnsi="Times New Roman"/>
          <w:sz w:val="24"/>
          <w:szCs w:val="24"/>
          <w:lang w:val="en-US"/>
        </w:rPr>
        <w:t>s/f</w:t>
      </w:r>
      <w:proofErr w:type="gramEnd"/>
      <w:r w:rsidRPr="00D03195">
        <w:rPr>
          <w:rFonts w:ascii="Times New Roman" w:hAnsi="Times New Roman"/>
          <w:sz w:val="24"/>
          <w:szCs w:val="24"/>
          <w:lang w:val="en-US"/>
        </w:rPr>
        <w:t xml:space="preserve">). </w:t>
      </w:r>
      <w:r w:rsidRPr="00D03195">
        <w:rPr>
          <w:rFonts w:ascii="Times New Roman" w:hAnsi="Times New Roman"/>
          <w:sz w:val="24"/>
          <w:szCs w:val="24"/>
        </w:rPr>
        <w:t xml:space="preserve">Competencias para Supervisores Clínicos de tratamiento para abuso de drogas. Recuperado de  </w:t>
      </w:r>
      <w:hyperlink r:id="rId11" w:history="1">
        <w:r w:rsidRPr="00D03195">
          <w:rPr>
            <w:rStyle w:val="Hipervnculo"/>
            <w:rFonts w:ascii="Times New Roman" w:hAnsi="Times New Roman"/>
            <w:sz w:val="24"/>
            <w:szCs w:val="24"/>
          </w:rPr>
          <w:t>http://www.attcnetwork.org/regcenters/productDocs/16/TAP21AManual.pdf</w:t>
        </w:r>
      </w:hyperlink>
    </w:p>
    <w:p w14:paraId="7E70F4B9" w14:textId="77777777" w:rsidR="00DD6A31" w:rsidRPr="00D03195" w:rsidRDefault="00DD6A31" w:rsidP="00DD794A">
      <w:pPr>
        <w:spacing w:before="120" w:after="120" w:line="240" w:lineRule="auto"/>
        <w:ind w:left="709" w:hanging="709"/>
        <w:rPr>
          <w:rFonts w:ascii="Times New Roman" w:hAnsi="Times New Roman"/>
          <w:sz w:val="24"/>
          <w:szCs w:val="24"/>
        </w:rPr>
      </w:pPr>
      <w:proofErr w:type="spellStart"/>
      <w:r w:rsidRPr="00D6264E">
        <w:rPr>
          <w:rFonts w:ascii="Times New Roman" w:hAnsi="Times New Roman"/>
          <w:sz w:val="24"/>
          <w:szCs w:val="24"/>
          <w:lang w:val="en-US"/>
        </w:rPr>
        <w:t>Hore</w:t>
      </w:r>
      <w:proofErr w:type="spellEnd"/>
      <w:r w:rsidRPr="00D6264E">
        <w:rPr>
          <w:rFonts w:ascii="Times New Roman" w:hAnsi="Times New Roman"/>
          <w:sz w:val="24"/>
          <w:szCs w:val="24"/>
          <w:lang w:val="en-US"/>
        </w:rPr>
        <w:t xml:space="preserve">, C. T., Lancashire, W. y </w:t>
      </w:r>
      <w:proofErr w:type="spellStart"/>
      <w:r w:rsidRPr="00D6264E">
        <w:rPr>
          <w:rFonts w:ascii="Times New Roman" w:hAnsi="Times New Roman"/>
          <w:sz w:val="24"/>
          <w:szCs w:val="24"/>
          <w:lang w:val="en-US"/>
        </w:rPr>
        <w:t>Fassett</w:t>
      </w:r>
      <w:proofErr w:type="spellEnd"/>
      <w:r w:rsidRPr="00D6264E">
        <w:rPr>
          <w:rFonts w:ascii="Times New Roman" w:hAnsi="Times New Roman"/>
          <w:sz w:val="24"/>
          <w:szCs w:val="24"/>
          <w:lang w:val="en-US"/>
        </w:rPr>
        <w:t xml:space="preserve">, R. G. (2009). </w:t>
      </w:r>
      <w:proofErr w:type="gramStart"/>
      <w:r w:rsidRPr="00D03195">
        <w:rPr>
          <w:rFonts w:ascii="Times New Roman" w:hAnsi="Times New Roman"/>
          <w:sz w:val="24"/>
          <w:szCs w:val="24"/>
          <w:lang w:val="en-US"/>
        </w:rPr>
        <w:t>Clinical supervision by consultants in teaching hospitals.</w:t>
      </w:r>
      <w:proofErr w:type="gramEnd"/>
      <w:r w:rsidRPr="00D03195">
        <w:rPr>
          <w:rFonts w:ascii="Times New Roman" w:hAnsi="Times New Roman"/>
          <w:sz w:val="24"/>
          <w:szCs w:val="24"/>
          <w:lang w:val="en-US"/>
        </w:rPr>
        <w:t xml:space="preserve"> </w:t>
      </w:r>
      <w:r w:rsidRPr="00D03195">
        <w:rPr>
          <w:rFonts w:ascii="Times New Roman" w:hAnsi="Times New Roman"/>
          <w:i/>
          <w:sz w:val="24"/>
          <w:szCs w:val="24"/>
        </w:rPr>
        <w:t>Medical Journal of Australia</w:t>
      </w:r>
      <w:r w:rsidRPr="00D03195">
        <w:rPr>
          <w:rFonts w:ascii="Times New Roman" w:hAnsi="Times New Roman"/>
          <w:sz w:val="24"/>
          <w:szCs w:val="24"/>
        </w:rPr>
        <w:t xml:space="preserve">, 191(4).Recuperado de </w:t>
      </w:r>
      <w:hyperlink r:id="rId12" w:history="1">
        <w:r w:rsidRPr="00D03195">
          <w:rPr>
            <w:rStyle w:val="Hipervnculo"/>
            <w:rFonts w:ascii="Times New Roman" w:hAnsi="Times New Roman"/>
            <w:sz w:val="24"/>
            <w:szCs w:val="24"/>
          </w:rPr>
          <w:t>https://www.mja.com.au/journal/2009/191/4/clinical-supervision-consultants-teaching-hospitals</w:t>
        </w:r>
      </w:hyperlink>
    </w:p>
    <w:p w14:paraId="7E70F4BA" w14:textId="77777777" w:rsidR="00DD6A31" w:rsidRPr="00D03195" w:rsidRDefault="00DD6A31" w:rsidP="00DD794A">
      <w:pPr>
        <w:spacing w:before="120" w:after="120" w:line="240" w:lineRule="auto"/>
        <w:ind w:left="709" w:hanging="709"/>
        <w:contextualSpacing/>
        <w:rPr>
          <w:rFonts w:ascii="Times New Roman" w:hAnsi="Times New Roman"/>
          <w:sz w:val="24"/>
          <w:szCs w:val="24"/>
          <w:lang w:eastAsia="es-MX"/>
        </w:rPr>
      </w:pPr>
      <w:r w:rsidRPr="00DD794A">
        <w:rPr>
          <w:rFonts w:ascii="Times New Roman" w:hAnsi="Times New Roman"/>
          <w:sz w:val="24"/>
          <w:szCs w:val="24"/>
          <w:lang w:val="en-US" w:eastAsia="es-MX"/>
        </w:rPr>
        <w:t xml:space="preserve">Irby, D. (1994). </w:t>
      </w:r>
      <w:r w:rsidRPr="00D03195">
        <w:rPr>
          <w:rFonts w:ascii="Times New Roman" w:hAnsi="Times New Roman"/>
          <w:sz w:val="24"/>
          <w:szCs w:val="24"/>
          <w:lang w:val="en-US" w:eastAsia="es-MX"/>
        </w:rPr>
        <w:t xml:space="preserve">What clinical teachers in medicine need to know? </w:t>
      </w:r>
      <w:proofErr w:type="spellStart"/>
      <w:r w:rsidRPr="00D03195">
        <w:rPr>
          <w:rFonts w:ascii="Times New Roman" w:hAnsi="Times New Roman"/>
          <w:i/>
          <w:sz w:val="24"/>
          <w:szCs w:val="24"/>
          <w:lang w:eastAsia="es-MX"/>
        </w:rPr>
        <w:t>Acad</w:t>
      </w:r>
      <w:proofErr w:type="spellEnd"/>
      <w:r w:rsidRPr="00D03195">
        <w:rPr>
          <w:rFonts w:ascii="Times New Roman" w:hAnsi="Times New Roman"/>
          <w:i/>
          <w:sz w:val="24"/>
          <w:szCs w:val="24"/>
          <w:lang w:eastAsia="es-MX"/>
        </w:rPr>
        <w:t xml:space="preserve"> </w:t>
      </w:r>
      <w:proofErr w:type="spellStart"/>
      <w:r w:rsidRPr="00D03195">
        <w:rPr>
          <w:rFonts w:ascii="Times New Roman" w:hAnsi="Times New Roman"/>
          <w:i/>
          <w:sz w:val="24"/>
          <w:szCs w:val="24"/>
          <w:lang w:eastAsia="es-MX"/>
        </w:rPr>
        <w:t>Med</w:t>
      </w:r>
      <w:proofErr w:type="spellEnd"/>
      <w:r w:rsidRPr="00D03195">
        <w:rPr>
          <w:rFonts w:ascii="Times New Roman" w:hAnsi="Times New Roman"/>
          <w:sz w:val="24"/>
          <w:szCs w:val="24"/>
          <w:lang w:eastAsia="es-MX"/>
        </w:rPr>
        <w:t xml:space="preserve">, 69(5):333–342. Recuperado de </w:t>
      </w:r>
      <w:hyperlink r:id="rId13" w:history="1">
        <w:r w:rsidRPr="00D03195">
          <w:rPr>
            <w:rStyle w:val="Hipervnculo"/>
            <w:rFonts w:ascii="Times New Roman" w:hAnsi="Times New Roman"/>
            <w:sz w:val="24"/>
            <w:szCs w:val="24"/>
            <w:lang w:eastAsia="es-MX"/>
          </w:rPr>
          <w:t>http://www.ncbi.nlm.nih.gov/pubmed/8166912</w:t>
        </w:r>
      </w:hyperlink>
      <w:r w:rsidRPr="00D03195">
        <w:rPr>
          <w:rFonts w:ascii="Times New Roman" w:hAnsi="Times New Roman"/>
          <w:sz w:val="24"/>
          <w:szCs w:val="24"/>
          <w:lang w:eastAsia="es-MX"/>
        </w:rPr>
        <w:t xml:space="preserve"> </w:t>
      </w:r>
    </w:p>
    <w:p w14:paraId="7E70F4BB" w14:textId="77777777" w:rsidR="00DD6A31" w:rsidRPr="00DD794A" w:rsidRDefault="00DD6A31" w:rsidP="00DD794A">
      <w:pPr>
        <w:pStyle w:val="Default"/>
        <w:spacing w:before="120" w:after="120"/>
        <w:ind w:left="709" w:hanging="709"/>
        <w:rPr>
          <w:rFonts w:ascii="Times New Roman" w:hAnsi="Times New Roman" w:cs="Times New Roman"/>
          <w:iCs/>
          <w:lang w:val="en-US"/>
        </w:rPr>
      </w:pPr>
      <w:proofErr w:type="spellStart"/>
      <w:proofErr w:type="gramStart"/>
      <w:r w:rsidRPr="00DD794A">
        <w:rPr>
          <w:rFonts w:ascii="Times New Roman" w:hAnsi="Times New Roman" w:cs="Times New Roman"/>
          <w:lang w:val="en-US"/>
        </w:rPr>
        <w:t>Jochemsen</w:t>
      </w:r>
      <w:proofErr w:type="spellEnd"/>
      <w:r w:rsidRPr="00DD794A">
        <w:rPr>
          <w:rFonts w:ascii="Times New Roman" w:hAnsi="Times New Roman" w:cs="Times New Roman"/>
          <w:lang w:val="en-US"/>
        </w:rPr>
        <w:t xml:space="preserve">-Van der </w:t>
      </w:r>
      <w:proofErr w:type="spellStart"/>
      <w:r w:rsidRPr="00DD794A">
        <w:rPr>
          <w:rFonts w:ascii="Times New Roman" w:hAnsi="Times New Roman" w:cs="Times New Roman"/>
          <w:lang w:val="en-US"/>
        </w:rPr>
        <w:t>Leeuw</w:t>
      </w:r>
      <w:proofErr w:type="spellEnd"/>
      <w:r w:rsidRPr="00DD794A">
        <w:rPr>
          <w:rFonts w:ascii="Times New Roman" w:hAnsi="Times New Roman" w:cs="Times New Roman"/>
          <w:lang w:val="en-US"/>
        </w:rPr>
        <w:t xml:space="preserve">, R., Van </w:t>
      </w:r>
      <w:proofErr w:type="spellStart"/>
      <w:r w:rsidRPr="00DD794A">
        <w:rPr>
          <w:rFonts w:ascii="Times New Roman" w:hAnsi="Times New Roman" w:cs="Times New Roman"/>
          <w:lang w:val="en-US"/>
        </w:rPr>
        <w:t>Dijk</w:t>
      </w:r>
      <w:proofErr w:type="spellEnd"/>
      <w:r w:rsidRPr="00DD794A">
        <w:rPr>
          <w:rFonts w:ascii="Times New Roman" w:hAnsi="Times New Roman" w:cs="Times New Roman"/>
          <w:lang w:val="en-US"/>
        </w:rPr>
        <w:t xml:space="preserve">, N., Van </w:t>
      </w:r>
      <w:proofErr w:type="spellStart"/>
      <w:r w:rsidRPr="00DD794A">
        <w:rPr>
          <w:rFonts w:ascii="Times New Roman" w:hAnsi="Times New Roman" w:cs="Times New Roman"/>
          <w:lang w:val="en-US"/>
        </w:rPr>
        <w:t>Ettern-Jamaludin</w:t>
      </w:r>
      <w:proofErr w:type="spellEnd"/>
      <w:r w:rsidRPr="00DD794A">
        <w:rPr>
          <w:rFonts w:ascii="Times New Roman" w:hAnsi="Times New Roman" w:cs="Times New Roman"/>
          <w:lang w:val="en-US"/>
        </w:rPr>
        <w:t xml:space="preserve">, F., y </w:t>
      </w:r>
      <w:proofErr w:type="spellStart"/>
      <w:r w:rsidRPr="00DD794A">
        <w:rPr>
          <w:rFonts w:ascii="Times New Roman" w:hAnsi="Times New Roman" w:cs="Times New Roman"/>
          <w:lang w:val="en-US"/>
        </w:rPr>
        <w:t>Wieringa</w:t>
      </w:r>
      <w:proofErr w:type="spellEnd"/>
      <w:r w:rsidRPr="00DD794A">
        <w:rPr>
          <w:rFonts w:ascii="Times New Roman" w:hAnsi="Times New Roman" w:cs="Times New Roman"/>
          <w:lang w:val="en-US"/>
        </w:rPr>
        <w:t xml:space="preserve">-de </w:t>
      </w:r>
      <w:proofErr w:type="spellStart"/>
      <w:r w:rsidRPr="00DD794A">
        <w:rPr>
          <w:rFonts w:ascii="Times New Roman" w:hAnsi="Times New Roman" w:cs="Times New Roman"/>
          <w:lang w:val="en-US"/>
        </w:rPr>
        <w:t>Waard</w:t>
      </w:r>
      <w:proofErr w:type="spellEnd"/>
      <w:r w:rsidRPr="00DD794A">
        <w:rPr>
          <w:rFonts w:ascii="Times New Roman" w:hAnsi="Times New Roman" w:cs="Times New Roman"/>
          <w:lang w:val="en-US"/>
        </w:rPr>
        <w:t>, M. (2013).</w:t>
      </w:r>
      <w:proofErr w:type="gramEnd"/>
      <w:r w:rsidRPr="00DD794A">
        <w:rPr>
          <w:rFonts w:ascii="Times New Roman" w:hAnsi="Times New Roman" w:cs="Times New Roman"/>
          <w:lang w:val="en-US"/>
        </w:rPr>
        <w:t xml:space="preserve"> The attributes of the Clinical trainer as role model: A systematic review. </w:t>
      </w:r>
      <w:r w:rsidRPr="00DD794A">
        <w:rPr>
          <w:rFonts w:ascii="Times New Roman" w:hAnsi="Times New Roman" w:cs="Times New Roman"/>
          <w:i/>
          <w:lang w:val="en-US"/>
        </w:rPr>
        <w:t>Academic Medicine</w:t>
      </w:r>
      <w:r w:rsidRPr="00DD794A">
        <w:rPr>
          <w:rFonts w:ascii="Times New Roman" w:hAnsi="Times New Roman" w:cs="Times New Roman"/>
          <w:lang w:val="en-US"/>
        </w:rPr>
        <w:t xml:space="preserve">, 88(1): 26-34. </w:t>
      </w:r>
      <w:proofErr w:type="spellStart"/>
      <w:r w:rsidRPr="00DD794A">
        <w:rPr>
          <w:rFonts w:ascii="Times New Roman" w:hAnsi="Times New Roman" w:cs="Times New Roman"/>
          <w:iCs/>
          <w:lang w:val="en-US"/>
        </w:rPr>
        <w:t>Doi</w:t>
      </w:r>
      <w:proofErr w:type="spellEnd"/>
      <w:r w:rsidRPr="00DD794A">
        <w:rPr>
          <w:rFonts w:ascii="Times New Roman" w:hAnsi="Times New Roman" w:cs="Times New Roman"/>
          <w:iCs/>
          <w:lang w:val="en-US"/>
        </w:rPr>
        <w:t>: 10.1097/ACM.0b013e318276d070</w:t>
      </w:r>
    </w:p>
    <w:p w14:paraId="7E70F4BC" w14:textId="77777777" w:rsidR="00DD6A31" w:rsidRPr="00D03195" w:rsidRDefault="00DD6A31" w:rsidP="00DD794A">
      <w:pPr>
        <w:pStyle w:val="Default"/>
        <w:spacing w:before="120" w:after="120"/>
        <w:ind w:left="709" w:hanging="709"/>
        <w:rPr>
          <w:rFonts w:ascii="Times New Roman" w:hAnsi="Times New Roman" w:cs="Times New Roman"/>
          <w:lang w:val="es-MX"/>
        </w:rPr>
      </w:pPr>
      <w:proofErr w:type="gramStart"/>
      <w:r w:rsidRPr="00DD794A">
        <w:rPr>
          <w:rFonts w:ascii="Times New Roman" w:hAnsi="Times New Roman" w:cs="Times New Roman"/>
          <w:lang w:val="en-US"/>
        </w:rPr>
        <w:t xml:space="preserve">Kennedy, T., </w:t>
      </w:r>
      <w:proofErr w:type="spellStart"/>
      <w:r w:rsidRPr="00DD794A">
        <w:rPr>
          <w:rFonts w:ascii="Times New Roman" w:hAnsi="Times New Roman" w:cs="Times New Roman"/>
          <w:lang w:val="en-US"/>
        </w:rPr>
        <w:t>Regehr</w:t>
      </w:r>
      <w:proofErr w:type="spellEnd"/>
      <w:r w:rsidRPr="00DD794A">
        <w:rPr>
          <w:rFonts w:ascii="Times New Roman" w:hAnsi="Times New Roman" w:cs="Times New Roman"/>
          <w:lang w:val="en-US"/>
        </w:rPr>
        <w:t xml:space="preserve">, G., Baker, R., y </w:t>
      </w:r>
      <w:proofErr w:type="spellStart"/>
      <w:r w:rsidRPr="00DD794A">
        <w:rPr>
          <w:rFonts w:ascii="Times New Roman" w:hAnsi="Times New Roman" w:cs="Times New Roman"/>
          <w:lang w:val="en-US"/>
        </w:rPr>
        <w:t>Lingard</w:t>
      </w:r>
      <w:proofErr w:type="spellEnd"/>
      <w:r w:rsidRPr="00DD794A">
        <w:rPr>
          <w:rFonts w:ascii="Times New Roman" w:hAnsi="Times New Roman" w:cs="Times New Roman"/>
          <w:lang w:val="en-US"/>
        </w:rPr>
        <w:t>, L. (2005).</w:t>
      </w:r>
      <w:proofErr w:type="gramEnd"/>
      <w:r w:rsidRPr="00DD794A">
        <w:rPr>
          <w:rFonts w:ascii="Times New Roman" w:hAnsi="Times New Roman" w:cs="Times New Roman"/>
          <w:lang w:val="en-US"/>
        </w:rPr>
        <w:t xml:space="preserve"> Progressive independence in clinical training: a tradition worth defending? </w:t>
      </w:r>
      <w:proofErr w:type="spellStart"/>
      <w:r w:rsidRPr="00D03195">
        <w:rPr>
          <w:rFonts w:ascii="Times New Roman" w:hAnsi="Times New Roman" w:cs="Times New Roman"/>
          <w:i/>
          <w:lang w:val="es-MX"/>
        </w:rPr>
        <w:t>Academic</w:t>
      </w:r>
      <w:proofErr w:type="spellEnd"/>
      <w:r w:rsidRPr="00D03195">
        <w:rPr>
          <w:rFonts w:ascii="Times New Roman" w:hAnsi="Times New Roman" w:cs="Times New Roman"/>
          <w:i/>
          <w:lang w:val="es-MX"/>
        </w:rPr>
        <w:t xml:space="preserve"> Medicine, </w:t>
      </w:r>
      <w:r w:rsidRPr="00D03195">
        <w:rPr>
          <w:rFonts w:ascii="Times New Roman" w:hAnsi="Times New Roman" w:cs="Times New Roman"/>
          <w:lang w:val="es-MX"/>
        </w:rPr>
        <w:t xml:space="preserve">80(10): 106-111. Recuperado de </w:t>
      </w:r>
      <w:hyperlink r:id="rId14" w:history="1">
        <w:r w:rsidRPr="00D03195">
          <w:rPr>
            <w:rStyle w:val="Hipervnculo"/>
            <w:rFonts w:ascii="Times New Roman" w:hAnsi="Times New Roman"/>
            <w:lang w:val="es-MX"/>
          </w:rPr>
          <w:t>http://www.ncbi.nlm.nih.gov/pubmed/16199447</w:t>
        </w:r>
      </w:hyperlink>
      <w:r w:rsidRPr="00D03195">
        <w:rPr>
          <w:rFonts w:ascii="Times New Roman" w:hAnsi="Times New Roman" w:cs="Times New Roman"/>
          <w:lang w:val="es-MX"/>
        </w:rPr>
        <w:t xml:space="preserve"> </w:t>
      </w:r>
    </w:p>
    <w:p w14:paraId="7E70F4BD" w14:textId="77777777" w:rsidR="00DD6A31" w:rsidRDefault="00DD6A31" w:rsidP="00DD794A">
      <w:pPr>
        <w:spacing w:before="120" w:after="120" w:line="240" w:lineRule="auto"/>
        <w:ind w:left="709" w:hanging="709"/>
        <w:contextualSpacing/>
        <w:rPr>
          <w:rFonts w:ascii="Times New Roman" w:hAnsi="Times New Roman"/>
          <w:sz w:val="24"/>
          <w:szCs w:val="24"/>
          <w:lang w:val="en-US"/>
        </w:rPr>
      </w:pPr>
      <w:proofErr w:type="spellStart"/>
      <w:r w:rsidRPr="00D03195">
        <w:rPr>
          <w:rFonts w:ascii="Times New Roman" w:hAnsi="Times New Roman"/>
          <w:sz w:val="24"/>
          <w:szCs w:val="24"/>
          <w:lang w:val="en-US"/>
        </w:rPr>
        <w:t>Kilminster</w:t>
      </w:r>
      <w:proofErr w:type="spellEnd"/>
      <w:r w:rsidRPr="00D03195">
        <w:rPr>
          <w:rFonts w:ascii="Times New Roman" w:hAnsi="Times New Roman"/>
          <w:sz w:val="24"/>
          <w:szCs w:val="24"/>
          <w:lang w:val="en-US"/>
        </w:rPr>
        <w:t xml:space="preserve">, S. y Jolly, B. (2000). Effective supervision in clinical practice settings: a literature review. </w:t>
      </w:r>
      <w:r w:rsidRPr="00D03195">
        <w:rPr>
          <w:rFonts w:ascii="Times New Roman" w:hAnsi="Times New Roman"/>
          <w:i/>
          <w:sz w:val="24"/>
          <w:szCs w:val="24"/>
          <w:lang w:val="en-US"/>
        </w:rPr>
        <w:t>Medical education</w:t>
      </w:r>
      <w:r w:rsidRPr="00D03195">
        <w:rPr>
          <w:rFonts w:ascii="Times New Roman" w:hAnsi="Times New Roman"/>
          <w:sz w:val="24"/>
          <w:szCs w:val="24"/>
          <w:lang w:val="en-US"/>
        </w:rPr>
        <w:t>, 34 (1): 827-840. DOI: 10.1046/j.1365-2923.2000.00758.x</w:t>
      </w:r>
    </w:p>
    <w:p w14:paraId="7E70F4BE" w14:textId="77777777" w:rsidR="00850B10" w:rsidRPr="00DD794A" w:rsidRDefault="00850B10" w:rsidP="00DD794A">
      <w:pPr>
        <w:spacing w:before="120" w:after="120" w:line="240" w:lineRule="auto"/>
        <w:ind w:left="709" w:hanging="709"/>
        <w:contextualSpacing/>
        <w:rPr>
          <w:rFonts w:ascii="Times New Roman" w:hAnsi="Times New Roman"/>
          <w:sz w:val="24"/>
          <w:szCs w:val="24"/>
        </w:rPr>
      </w:pPr>
      <w:proofErr w:type="spellStart"/>
      <w:r w:rsidRPr="00DD794A">
        <w:rPr>
          <w:rFonts w:ascii="Times New Roman" w:hAnsi="Times New Roman" w:cs="Times New Roman"/>
          <w:sz w:val="24"/>
          <w:szCs w:val="24"/>
          <w:lang w:val="en-US"/>
        </w:rPr>
        <w:t>Lawshe</w:t>
      </w:r>
      <w:proofErr w:type="spellEnd"/>
      <w:r w:rsidR="00DD6A31" w:rsidRPr="00DD794A">
        <w:rPr>
          <w:rFonts w:ascii="Times New Roman" w:hAnsi="Times New Roman" w:cs="Times New Roman"/>
          <w:sz w:val="24"/>
          <w:szCs w:val="24"/>
          <w:lang w:val="en-US"/>
        </w:rPr>
        <w:t xml:space="preserve">, C. H. (1975). </w:t>
      </w:r>
      <w:proofErr w:type="gramStart"/>
      <w:r w:rsidR="00DD6A31" w:rsidRPr="00DD794A">
        <w:rPr>
          <w:rFonts w:ascii="Times New Roman" w:hAnsi="Times New Roman" w:cs="Times New Roman"/>
          <w:sz w:val="24"/>
          <w:szCs w:val="24"/>
          <w:lang w:val="en-US"/>
        </w:rPr>
        <w:t>A quantitative approach to content validity.</w:t>
      </w:r>
      <w:proofErr w:type="gramEnd"/>
      <w:r w:rsidR="00DD6A31" w:rsidRPr="00DD794A">
        <w:rPr>
          <w:rFonts w:ascii="Times New Roman" w:hAnsi="Times New Roman" w:cs="Times New Roman"/>
          <w:sz w:val="24"/>
          <w:szCs w:val="24"/>
          <w:lang w:val="en-US"/>
        </w:rPr>
        <w:t xml:space="preserve"> </w:t>
      </w:r>
      <w:proofErr w:type="spellStart"/>
      <w:r w:rsidR="00DD6A31">
        <w:rPr>
          <w:rFonts w:ascii="Times New Roman" w:hAnsi="Times New Roman" w:cs="Times New Roman"/>
          <w:i/>
          <w:sz w:val="24"/>
          <w:szCs w:val="24"/>
        </w:rPr>
        <w:t>Personnel</w:t>
      </w:r>
      <w:proofErr w:type="spellEnd"/>
      <w:r w:rsidR="00DD6A31">
        <w:rPr>
          <w:rFonts w:ascii="Times New Roman" w:hAnsi="Times New Roman" w:cs="Times New Roman"/>
          <w:i/>
          <w:sz w:val="24"/>
          <w:szCs w:val="24"/>
        </w:rPr>
        <w:t xml:space="preserve"> Psychology, </w:t>
      </w:r>
      <w:r w:rsidR="00DD6A31">
        <w:rPr>
          <w:rFonts w:ascii="Times New Roman" w:hAnsi="Times New Roman" w:cs="Times New Roman"/>
          <w:sz w:val="24"/>
          <w:szCs w:val="24"/>
        </w:rPr>
        <w:t xml:space="preserve">28(1): 563-575. Recuperado de </w:t>
      </w:r>
      <w:r w:rsidR="00DD6A31" w:rsidRPr="00DD6A31">
        <w:rPr>
          <w:rFonts w:ascii="Times New Roman" w:hAnsi="Times New Roman" w:cs="Times New Roman"/>
          <w:sz w:val="24"/>
          <w:szCs w:val="24"/>
        </w:rPr>
        <w:t>http://citeseerx.ist.psu.edu/viewdoc/download?doi=10.1.1.460.9380&amp;rep=rep1&amp;type=pdf</w:t>
      </w:r>
    </w:p>
    <w:p w14:paraId="7E70F4BF" w14:textId="77777777" w:rsidR="00DD6A31" w:rsidRPr="00D03195" w:rsidRDefault="00DD6A31" w:rsidP="00DD794A">
      <w:pPr>
        <w:spacing w:before="120" w:after="120" w:line="240" w:lineRule="auto"/>
        <w:ind w:left="709" w:hanging="709"/>
        <w:rPr>
          <w:rFonts w:ascii="Times New Roman" w:hAnsi="Times New Roman"/>
          <w:sz w:val="24"/>
          <w:szCs w:val="24"/>
        </w:rPr>
      </w:pPr>
      <w:r w:rsidRPr="00D03195">
        <w:rPr>
          <w:rFonts w:ascii="Times New Roman" w:hAnsi="Times New Roman"/>
          <w:sz w:val="24"/>
          <w:szCs w:val="24"/>
        </w:rPr>
        <w:t>Levy, J.</w:t>
      </w:r>
      <w:r>
        <w:rPr>
          <w:rFonts w:ascii="Times New Roman" w:hAnsi="Times New Roman"/>
          <w:sz w:val="24"/>
          <w:szCs w:val="24"/>
        </w:rPr>
        <w:t>,</w:t>
      </w:r>
      <w:r w:rsidRPr="00D03195">
        <w:rPr>
          <w:rFonts w:ascii="Times New Roman" w:hAnsi="Times New Roman"/>
          <w:sz w:val="24"/>
          <w:szCs w:val="24"/>
        </w:rPr>
        <w:t xml:space="preserve"> Varela, J.</w:t>
      </w:r>
      <w:r>
        <w:rPr>
          <w:rFonts w:ascii="Times New Roman" w:hAnsi="Times New Roman"/>
          <w:sz w:val="24"/>
          <w:szCs w:val="24"/>
        </w:rPr>
        <w:t>,</w:t>
      </w:r>
      <w:r w:rsidRPr="00D03195">
        <w:rPr>
          <w:rFonts w:ascii="Times New Roman" w:hAnsi="Times New Roman"/>
          <w:sz w:val="24"/>
          <w:szCs w:val="24"/>
        </w:rPr>
        <w:t xml:space="preserve"> y Abad, J. (2006). </w:t>
      </w:r>
      <w:r w:rsidRPr="00D03195">
        <w:rPr>
          <w:rFonts w:ascii="Times New Roman" w:hAnsi="Times New Roman"/>
          <w:i/>
          <w:sz w:val="24"/>
          <w:szCs w:val="24"/>
        </w:rPr>
        <w:t xml:space="preserve">Modelización con estructuras de covarianzas en ciencias sociales: temas esenciales, avanzados y aportaciones especiales. </w:t>
      </w:r>
      <w:r w:rsidRPr="00D03195">
        <w:rPr>
          <w:rFonts w:ascii="Times New Roman" w:hAnsi="Times New Roman"/>
          <w:sz w:val="24"/>
          <w:szCs w:val="24"/>
        </w:rPr>
        <w:t xml:space="preserve">España: </w:t>
      </w:r>
      <w:proofErr w:type="spellStart"/>
      <w:r w:rsidRPr="00D03195">
        <w:rPr>
          <w:rFonts w:ascii="Times New Roman" w:hAnsi="Times New Roman"/>
          <w:sz w:val="24"/>
          <w:szCs w:val="24"/>
        </w:rPr>
        <w:t>Netbiblo</w:t>
      </w:r>
      <w:proofErr w:type="spellEnd"/>
      <w:r w:rsidRPr="00D03195">
        <w:rPr>
          <w:rFonts w:ascii="Times New Roman" w:hAnsi="Times New Roman"/>
          <w:sz w:val="24"/>
          <w:szCs w:val="24"/>
        </w:rPr>
        <w:t>.</w:t>
      </w:r>
    </w:p>
    <w:p w14:paraId="7E70F4C0" w14:textId="77777777" w:rsidR="00DD6A31" w:rsidRPr="00D03195" w:rsidRDefault="00DD6A31" w:rsidP="00DD794A">
      <w:pPr>
        <w:spacing w:before="120" w:after="120" w:line="240" w:lineRule="auto"/>
        <w:ind w:left="709" w:hanging="709"/>
        <w:rPr>
          <w:rFonts w:ascii="Times New Roman" w:hAnsi="Times New Roman"/>
          <w:sz w:val="24"/>
          <w:szCs w:val="24"/>
        </w:rPr>
      </w:pPr>
      <w:proofErr w:type="spellStart"/>
      <w:r w:rsidRPr="00D03195">
        <w:rPr>
          <w:rFonts w:ascii="Times New Roman" w:hAnsi="Times New Roman"/>
          <w:sz w:val="24"/>
          <w:szCs w:val="24"/>
        </w:rPr>
        <w:t>Lifshitz-Guinzberg</w:t>
      </w:r>
      <w:proofErr w:type="spellEnd"/>
      <w:r w:rsidRPr="00D03195">
        <w:rPr>
          <w:rFonts w:ascii="Times New Roman" w:hAnsi="Times New Roman"/>
          <w:sz w:val="24"/>
          <w:szCs w:val="24"/>
        </w:rPr>
        <w:t xml:space="preserve">, A. (2012). La enseñanza clínica en la era moderna. </w:t>
      </w:r>
      <w:r w:rsidRPr="00D03195">
        <w:rPr>
          <w:rFonts w:ascii="Times New Roman" w:hAnsi="Times New Roman"/>
          <w:i/>
          <w:sz w:val="24"/>
          <w:szCs w:val="24"/>
        </w:rPr>
        <w:t>Revista de Investigación en Educación Médica</w:t>
      </w:r>
      <w:r w:rsidRPr="00D03195">
        <w:rPr>
          <w:rFonts w:ascii="Times New Roman" w:hAnsi="Times New Roman"/>
          <w:sz w:val="24"/>
          <w:szCs w:val="24"/>
        </w:rPr>
        <w:t xml:space="preserve">, 1 (04). Recuperado de </w:t>
      </w:r>
      <w:hyperlink r:id="rId15" w:history="1">
        <w:r w:rsidRPr="00D03195">
          <w:rPr>
            <w:rStyle w:val="Hipervnculo"/>
            <w:rFonts w:ascii="Times New Roman" w:hAnsi="Times New Roman"/>
            <w:sz w:val="24"/>
            <w:szCs w:val="24"/>
          </w:rPr>
          <w:t>http://riem.facmed.unam.mx/sites/all/archivos/V1Num04/08_AR_LA_ENSENANZA_DE_LA_CLINICA.PDF</w:t>
        </w:r>
      </w:hyperlink>
    </w:p>
    <w:p w14:paraId="7E70F4C1" w14:textId="77777777" w:rsidR="00DD6A31" w:rsidRPr="00D03195" w:rsidRDefault="00DD6A31" w:rsidP="00DD794A">
      <w:pPr>
        <w:spacing w:before="120" w:after="120" w:line="240" w:lineRule="auto"/>
        <w:ind w:left="709" w:hanging="709"/>
        <w:rPr>
          <w:rFonts w:ascii="Times New Roman" w:hAnsi="Times New Roman"/>
          <w:sz w:val="24"/>
          <w:szCs w:val="24"/>
          <w:lang w:val="en-US"/>
        </w:rPr>
      </w:pPr>
      <w:r w:rsidRPr="00D03195">
        <w:rPr>
          <w:rFonts w:ascii="Times New Roman" w:hAnsi="Times New Roman"/>
          <w:sz w:val="24"/>
          <w:szCs w:val="24"/>
          <w:lang w:val="en-US"/>
        </w:rPr>
        <w:lastRenderedPageBreak/>
        <w:t xml:space="preserve">Miller, G. (1990). </w:t>
      </w:r>
      <w:proofErr w:type="gramStart"/>
      <w:r w:rsidRPr="00D03195">
        <w:rPr>
          <w:rFonts w:ascii="Times New Roman" w:hAnsi="Times New Roman"/>
          <w:sz w:val="24"/>
          <w:szCs w:val="24"/>
          <w:lang w:val="en-US"/>
        </w:rPr>
        <w:t>The assessment of clinical skills/competence/performance.</w:t>
      </w:r>
      <w:proofErr w:type="gramEnd"/>
      <w:r w:rsidRPr="00D03195">
        <w:rPr>
          <w:rFonts w:ascii="Times New Roman" w:hAnsi="Times New Roman"/>
          <w:sz w:val="24"/>
          <w:szCs w:val="24"/>
          <w:lang w:val="en-US"/>
        </w:rPr>
        <w:t xml:space="preserve"> </w:t>
      </w:r>
      <w:proofErr w:type="spellStart"/>
      <w:r w:rsidRPr="00D03195">
        <w:rPr>
          <w:rFonts w:ascii="Times New Roman" w:hAnsi="Times New Roman"/>
          <w:i/>
          <w:sz w:val="24"/>
          <w:szCs w:val="24"/>
          <w:lang w:val="en-US"/>
        </w:rPr>
        <w:t>AcadMed</w:t>
      </w:r>
      <w:proofErr w:type="spellEnd"/>
      <w:r w:rsidRPr="00D03195">
        <w:rPr>
          <w:rFonts w:ascii="Times New Roman" w:hAnsi="Times New Roman"/>
          <w:sz w:val="24"/>
          <w:szCs w:val="24"/>
          <w:lang w:val="en-US"/>
        </w:rPr>
        <w:t xml:space="preserve">; 65(Suppl.): S63-S67. </w:t>
      </w:r>
      <w:proofErr w:type="spellStart"/>
      <w:r w:rsidRPr="00D03195">
        <w:rPr>
          <w:rFonts w:ascii="Times New Roman" w:hAnsi="Times New Roman"/>
          <w:sz w:val="24"/>
          <w:szCs w:val="24"/>
          <w:lang w:val="en-US"/>
        </w:rPr>
        <w:t>Recuperado</w:t>
      </w:r>
      <w:proofErr w:type="spellEnd"/>
      <w:r w:rsidRPr="00D03195">
        <w:rPr>
          <w:rFonts w:ascii="Times New Roman" w:hAnsi="Times New Roman"/>
          <w:sz w:val="24"/>
          <w:szCs w:val="24"/>
          <w:lang w:val="en-US"/>
        </w:rPr>
        <w:t xml:space="preserve"> de </w:t>
      </w:r>
      <w:hyperlink r:id="rId16" w:history="1">
        <w:r w:rsidRPr="00D03195">
          <w:rPr>
            <w:rStyle w:val="Hipervnculo"/>
            <w:rFonts w:ascii="Times New Roman" w:hAnsi="Times New Roman"/>
            <w:sz w:val="24"/>
            <w:szCs w:val="24"/>
            <w:lang w:val="en-US"/>
          </w:rPr>
          <w:t>http://www.ncbi.nlm.nih.gov/pubmed/2400509</w:t>
        </w:r>
      </w:hyperlink>
    </w:p>
    <w:p w14:paraId="7E70F4C2" w14:textId="77777777" w:rsidR="00DD6A31" w:rsidRPr="00DD794A" w:rsidRDefault="00DD6A31" w:rsidP="00DD794A">
      <w:pPr>
        <w:spacing w:before="120" w:after="120" w:line="240" w:lineRule="auto"/>
        <w:ind w:left="709" w:hanging="709"/>
        <w:rPr>
          <w:rFonts w:ascii="Times New Roman" w:hAnsi="Times New Roman"/>
          <w:sz w:val="24"/>
          <w:szCs w:val="24"/>
          <w:lang w:val="en-US"/>
        </w:rPr>
      </w:pPr>
      <w:r w:rsidRPr="00D03195">
        <w:rPr>
          <w:rFonts w:ascii="Times New Roman" w:hAnsi="Times New Roman"/>
          <w:sz w:val="24"/>
          <w:szCs w:val="24"/>
          <w:lang w:val="en-US"/>
        </w:rPr>
        <w:t xml:space="preserve">Milne, D. </w:t>
      </w:r>
      <w:proofErr w:type="spellStart"/>
      <w:r w:rsidRPr="00D03195">
        <w:rPr>
          <w:rFonts w:ascii="Times New Roman" w:hAnsi="Times New Roman"/>
          <w:sz w:val="24"/>
          <w:szCs w:val="24"/>
          <w:lang w:val="en-US"/>
        </w:rPr>
        <w:t>Aylott</w:t>
      </w:r>
      <w:proofErr w:type="spellEnd"/>
      <w:r w:rsidRPr="00D03195">
        <w:rPr>
          <w:rFonts w:ascii="Times New Roman" w:hAnsi="Times New Roman"/>
          <w:sz w:val="24"/>
          <w:szCs w:val="24"/>
          <w:lang w:val="en-US"/>
        </w:rPr>
        <w:t xml:space="preserve">, H. </w:t>
      </w:r>
      <w:proofErr w:type="spellStart"/>
      <w:r w:rsidRPr="00D03195">
        <w:rPr>
          <w:rFonts w:ascii="Times New Roman" w:hAnsi="Times New Roman"/>
          <w:sz w:val="24"/>
          <w:szCs w:val="24"/>
          <w:lang w:val="en-US"/>
        </w:rPr>
        <w:t>Ftzpatrick</w:t>
      </w:r>
      <w:proofErr w:type="spellEnd"/>
      <w:r w:rsidRPr="00D03195">
        <w:rPr>
          <w:rFonts w:ascii="Times New Roman" w:hAnsi="Times New Roman"/>
          <w:sz w:val="24"/>
          <w:szCs w:val="24"/>
          <w:lang w:val="en-US"/>
        </w:rPr>
        <w:t xml:space="preserve">, H. y Ellis. </w:t>
      </w:r>
      <w:proofErr w:type="gramStart"/>
      <w:r w:rsidRPr="00D03195">
        <w:rPr>
          <w:rFonts w:ascii="Times New Roman" w:hAnsi="Times New Roman"/>
          <w:sz w:val="24"/>
          <w:szCs w:val="24"/>
          <w:lang w:val="en-US"/>
        </w:rPr>
        <w:t>M. (2008).</w:t>
      </w:r>
      <w:proofErr w:type="gramEnd"/>
      <w:r w:rsidRPr="00D03195">
        <w:rPr>
          <w:rFonts w:ascii="Times New Roman" w:hAnsi="Times New Roman"/>
          <w:sz w:val="24"/>
          <w:szCs w:val="24"/>
          <w:lang w:val="en-US"/>
        </w:rPr>
        <w:t xml:space="preserve"> How does clinical supervision work? </w:t>
      </w:r>
      <w:proofErr w:type="gramStart"/>
      <w:r w:rsidRPr="00D03195">
        <w:rPr>
          <w:rFonts w:ascii="Times New Roman" w:hAnsi="Times New Roman"/>
          <w:sz w:val="24"/>
          <w:szCs w:val="24"/>
          <w:lang w:val="en-US"/>
        </w:rPr>
        <w:t>Using a “best evidence synthesis “Approach to construct a basic model of supervision.</w:t>
      </w:r>
      <w:proofErr w:type="gramEnd"/>
      <w:r w:rsidRPr="00D03195">
        <w:rPr>
          <w:rFonts w:ascii="Times New Roman" w:hAnsi="Times New Roman"/>
          <w:sz w:val="24"/>
          <w:szCs w:val="24"/>
          <w:lang w:val="en-US"/>
        </w:rPr>
        <w:t xml:space="preserve"> </w:t>
      </w:r>
      <w:r w:rsidRPr="00DD794A">
        <w:rPr>
          <w:rFonts w:ascii="Times New Roman" w:hAnsi="Times New Roman"/>
          <w:i/>
          <w:sz w:val="24"/>
          <w:szCs w:val="24"/>
          <w:lang w:val="en-US"/>
        </w:rPr>
        <w:t>The Clinical Supervisor</w:t>
      </w:r>
      <w:r w:rsidRPr="00DD794A">
        <w:rPr>
          <w:rFonts w:ascii="Times New Roman" w:hAnsi="Times New Roman"/>
          <w:sz w:val="24"/>
          <w:szCs w:val="24"/>
          <w:lang w:val="en-US"/>
        </w:rPr>
        <w:t xml:space="preserve">, 27(2) 170-190. </w:t>
      </w:r>
      <w:proofErr w:type="spellStart"/>
      <w:r w:rsidRPr="00DD794A">
        <w:rPr>
          <w:rFonts w:ascii="Times New Roman" w:hAnsi="Times New Roman"/>
          <w:sz w:val="24"/>
          <w:szCs w:val="24"/>
          <w:lang w:val="en-US"/>
        </w:rPr>
        <w:t>Doi</w:t>
      </w:r>
      <w:proofErr w:type="spellEnd"/>
      <w:r w:rsidRPr="00DD794A">
        <w:rPr>
          <w:rFonts w:ascii="Times New Roman" w:hAnsi="Times New Roman"/>
          <w:sz w:val="24"/>
          <w:szCs w:val="24"/>
          <w:lang w:val="en-US"/>
        </w:rPr>
        <w:t>: 10.1080/07325220802487915</w:t>
      </w:r>
    </w:p>
    <w:p w14:paraId="7E70F4C3" w14:textId="77777777" w:rsidR="00DD6A31" w:rsidRPr="00DD794A" w:rsidRDefault="00DD6A31" w:rsidP="00DD794A">
      <w:pPr>
        <w:spacing w:before="120" w:after="120" w:line="240" w:lineRule="auto"/>
        <w:ind w:left="709" w:hanging="709"/>
        <w:rPr>
          <w:rFonts w:ascii="Times New Roman" w:hAnsi="Times New Roman"/>
          <w:sz w:val="24"/>
          <w:szCs w:val="24"/>
          <w:lang w:val="en-US"/>
        </w:rPr>
      </w:pPr>
      <w:proofErr w:type="spellStart"/>
      <w:r w:rsidRPr="00D03195">
        <w:rPr>
          <w:rFonts w:ascii="Times New Roman" w:hAnsi="Times New Roman"/>
          <w:sz w:val="24"/>
          <w:szCs w:val="24"/>
          <w:lang w:val="en-US"/>
        </w:rPr>
        <w:t>Paice</w:t>
      </w:r>
      <w:proofErr w:type="spellEnd"/>
      <w:r w:rsidRPr="00D03195">
        <w:rPr>
          <w:rFonts w:ascii="Times New Roman" w:hAnsi="Times New Roman"/>
          <w:sz w:val="24"/>
          <w:szCs w:val="24"/>
          <w:lang w:val="en-US"/>
        </w:rPr>
        <w:t>, E.</w:t>
      </w:r>
      <w:r>
        <w:rPr>
          <w:rFonts w:ascii="Times New Roman" w:hAnsi="Times New Roman"/>
          <w:sz w:val="24"/>
          <w:szCs w:val="24"/>
          <w:lang w:val="en-US"/>
        </w:rPr>
        <w:t>,</w:t>
      </w:r>
      <w:r w:rsidRPr="00D03195">
        <w:rPr>
          <w:rFonts w:ascii="Times New Roman" w:hAnsi="Times New Roman"/>
          <w:sz w:val="24"/>
          <w:szCs w:val="24"/>
          <w:lang w:val="en-US"/>
        </w:rPr>
        <w:t xml:space="preserve"> Heard, S.</w:t>
      </w:r>
      <w:r>
        <w:rPr>
          <w:rFonts w:ascii="Times New Roman" w:hAnsi="Times New Roman"/>
          <w:sz w:val="24"/>
          <w:szCs w:val="24"/>
          <w:lang w:val="en-US"/>
        </w:rPr>
        <w:t>,</w:t>
      </w:r>
      <w:r w:rsidRPr="00D03195">
        <w:rPr>
          <w:rFonts w:ascii="Times New Roman" w:hAnsi="Times New Roman"/>
          <w:sz w:val="24"/>
          <w:szCs w:val="24"/>
          <w:lang w:val="en-US"/>
        </w:rPr>
        <w:t xml:space="preserve"> y Moss, F. (2002). How important are role models in making good doctors? </w:t>
      </w:r>
      <w:r w:rsidRPr="00DD794A">
        <w:rPr>
          <w:rFonts w:ascii="Times New Roman" w:hAnsi="Times New Roman"/>
          <w:i/>
          <w:sz w:val="24"/>
          <w:szCs w:val="24"/>
          <w:lang w:val="en-US"/>
        </w:rPr>
        <w:t xml:space="preserve">British Medicine Journal, </w:t>
      </w:r>
      <w:r w:rsidRPr="00DD794A">
        <w:rPr>
          <w:rFonts w:ascii="Times New Roman" w:hAnsi="Times New Roman"/>
          <w:sz w:val="24"/>
          <w:szCs w:val="24"/>
          <w:lang w:val="en-US"/>
        </w:rPr>
        <w:t>325 (1): 707-710.</w:t>
      </w:r>
    </w:p>
    <w:p w14:paraId="7E70F4C4" w14:textId="77777777" w:rsidR="00DD6A31" w:rsidRPr="00D03195" w:rsidRDefault="00DD6A31" w:rsidP="00DD794A">
      <w:pPr>
        <w:spacing w:before="120" w:after="120" w:line="240" w:lineRule="auto"/>
        <w:ind w:left="709" w:hanging="709"/>
        <w:rPr>
          <w:rFonts w:ascii="Times New Roman" w:hAnsi="Times New Roman"/>
          <w:sz w:val="24"/>
          <w:szCs w:val="24"/>
        </w:rPr>
      </w:pPr>
      <w:r w:rsidRPr="00DD794A">
        <w:rPr>
          <w:rFonts w:ascii="Times New Roman" w:hAnsi="Times New Roman"/>
          <w:sz w:val="24"/>
          <w:szCs w:val="24"/>
          <w:lang w:val="en-US"/>
        </w:rPr>
        <w:t xml:space="preserve">Santana, L., </w:t>
      </w:r>
      <w:proofErr w:type="spellStart"/>
      <w:r w:rsidRPr="00DD794A">
        <w:rPr>
          <w:rFonts w:ascii="Times New Roman" w:hAnsi="Times New Roman"/>
          <w:sz w:val="24"/>
          <w:szCs w:val="24"/>
          <w:lang w:val="en-US"/>
        </w:rPr>
        <w:t>Lifshitz-Guinzberg</w:t>
      </w:r>
      <w:proofErr w:type="spellEnd"/>
      <w:r w:rsidRPr="00DD794A">
        <w:rPr>
          <w:rFonts w:ascii="Times New Roman" w:hAnsi="Times New Roman"/>
          <w:sz w:val="24"/>
          <w:szCs w:val="24"/>
          <w:lang w:val="en-US"/>
        </w:rPr>
        <w:t xml:space="preserve">, A., Castillo, J. y </w:t>
      </w:r>
      <w:proofErr w:type="spellStart"/>
      <w:r w:rsidRPr="00DD794A">
        <w:rPr>
          <w:rFonts w:ascii="Times New Roman" w:hAnsi="Times New Roman"/>
          <w:sz w:val="24"/>
          <w:szCs w:val="24"/>
          <w:lang w:val="en-US"/>
        </w:rPr>
        <w:t>Prieto</w:t>
      </w:r>
      <w:proofErr w:type="spellEnd"/>
      <w:r w:rsidRPr="00DD794A">
        <w:rPr>
          <w:rFonts w:ascii="Times New Roman" w:hAnsi="Times New Roman"/>
          <w:sz w:val="24"/>
          <w:szCs w:val="24"/>
          <w:lang w:val="en-US"/>
        </w:rPr>
        <w:t xml:space="preserve">, S. (2013). </w:t>
      </w:r>
      <w:r w:rsidRPr="00D03195">
        <w:rPr>
          <w:rFonts w:ascii="Times New Roman" w:hAnsi="Times New Roman"/>
          <w:sz w:val="24"/>
          <w:szCs w:val="24"/>
        </w:rPr>
        <w:t xml:space="preserve">El aprendizaje de la clínica. México. Recuperado de  </w:t>
      </w:r>
      <w:hyperlink r:id="rId17" w:history="1">
        <w:r w:rsidRPr="00D03195">
          <w:rPr>
            <w:rStyle w:val="Hipervnculo"/>
            <w:rFonts w:ascii="Times New Roman" w:hAnsi="Times New Roman"/>
            <w:sz w:val="24"/>
            <w:szCs w:val="24"/>
          </w:rPr>
          <w:t>http://www.fundacionlegadopatronus.org/libro.pdf</w:t>
        </w:r>
      </w:hyperlink>
    </w:p>
    <w:p w14:paraId="7E70F4C5" w14:textId="77777777" w:rsidR="00DD6A31" w:rsidRPr="00D03195" w:rsidRDefault="00DD6A31" w:rsidP="00DD794A">
      <w:pPr>
        <w:spacing w:before="120" w:after="120" w:line="240" w:lineRule="auto"/>
        <w:ind w:left="709" w:hanging="709"/>
        <w:rPr>
          <w:rFonts w:ascii="Times New Roman" w:hAnsi="Times New Roman"/>
          <w:sz w:val="24"/>
          <w:szCs w:val="24"/>
          <w:lang w:val="en-US"/>
        </w:rPr>
      </w:pPr>
      <w:r w:rsidRPr="00D03195">
        <w:rPr>
          <w:rFonts w:ascii="Times New Roman" w:hAnsi="Times New Roman"/>
          <w:sz w:val="24"/>
          <w:szCs w:val="24"/>
          <w:lang w:val="en-US"/>
        </w:rPr>
        <w:t>Schumacher, D.</w:t>
      </w:r>
      <w:r>
        <w:rPr>
          <w:rFonts w:ascii="Times New Roman" w:hAnsi="Times New Roman"/>
          <w:sz w:val="24"/>
          <w:szCs w:val="24"/>
          <w:lang w:val="en-US"/>
        </w:rPr>
        <w:t>,</w:t>
      </w:r>
      <w:r w:rsidRPr="00D03195">
        <w:rPr>
          <w:rFonts w:ascii="Times New Roman" w:hAnsi="Times New Roman"/>
          <w:sz w:val="24"/>
          <w:szCs w:val="24"/>
          <w:lang w:val="en-US"/>
        </w:rPr>
        <w:t xml:space="preserve"> </w:t>
      </w:r>
      <w:proofErr w:type="spellStart"/>
      <w:r w:rsidRPr="00D03195">
        <w:rPr>
          <w:rFonts w:ascii="Times New Roman" w:hAnsi="Times New Roman"/>
          <w:sz w:val="24"/>
          <w:szCs w:val="24"/>
          <w:lang w:val="en-US"/>
        </w:rPr>
        <w:t>Bria</w:t>
      </w:r>
      <w:proofErr w:type="spellEnd"/>
      <w:r w:rsidRPr="00D03195">
        <w:rPr>
          <w:rFonts w:ascii="Times New Roman" w:hAnsi="Times New Roman"/>
          <w:sz w:val="24"/>
          <w:szCs w:val="24"/>
          <w:lang w:val="en-US"/>
        </w:rPr>
        <w:t xml:space="preserve">, </w:t>
      </w:r>
      <w:proofErr w:type="gramStart"/>
      <w:r w:rsidRPr="00D03195">
        <w:rPr>
          <w:rFonts w:ascii="Times New Roman" w:hAnsi="Times New Roman"/>
          <w:sz w:val="24"/>
          <w:szCs w:val="24"/>
          <w:lang w:val="en-US"/>
        </w:rPr>
        <w:t xml:space="preserve">C. y </w:t>
      </w:r>
      <w:proofErr w:type="spellStart"/>
      <w:r w:rsidRPr="00D03195">
        <w:rPr>
          <w:rFonts w:ascii="Times New Roman" w:hAnsi="Times New Roman"/>
          <w:sz w:val="24"/>
          <w:szCs w:val="24"/>
          <w:lang w:val="en-US"/>
        </w:rPr>
        <w:t>Frohna</w:t>
      </w:r>
      <w:proofErr w:type="spellEnd"/>
      <w:r w:rsidRPr="00D03195">
        <w:rPr>
          <w:rFonts w:ascii="Times New Roman" w:hAnsi="Times New Roman"/>
          <w:sz w:val="24"/>
          <w:szCs w:val="24"/>
          <w:lang w:val="en-US"/>
        </w:rPr>
        <w:t>, J. (2013).The</w:t>
      </w:r>
      <w:proofErr w:type="gramEnd"/>
      <w:r w:rsidRPr="00D03195">
        <w:rPr>
          <w:rFonts w:ascii="Times New Roman" w:hAnsi="Times New Roman"/>
          <w:sz w:val="24"/>
          <w:szCs w:val="24"/>
          <w:lang w:val="en-US"/>
        </w:rPr>
        <w:t xml:space="preserve"> quest toward unsupervised practice: Promoting autonomy, not independence. </w:t>
      </w:r>
      <w:r w:rsidRPr="00D03195">
        <w:rPr>
          <w:rFonts w:ascii="Times New Roman" w:hAnsi="Times New Roman"/>
          <w:i/>
          <w:sz w:val="24"/>
          <w:szCs w:val="24"/>
          <w:lang w:val="en-US"/>
        </w:rPr>
        <w:t>The Journal of American Medical Association</w:t>
      </w:r>
      <w:r w:rsidRPr="00D03195">
        <w:rPr>
          <w:rFonts w:ascii="Times New Roman" w:hAnsi="Times New Roman"/>
          <w:sz w:val="24"/>
          <w:szCs w:val="24"/>
          <w:lang w:val="en-US"/>
        </w:rPr>
        <w:t>, 310(24), 2613–2614. doi:10.1001/jama.2013.282324</w:t>
      </w:r>
    </w:p>
    <w:p w14:paraId="7E70F4C6" w14:textId="77777777" w:rsidR="00DD6A31" w:rsidRPr="000A5019" w:rsidRDefault="00DD6A31" w:rsidP="00DD794A">
      <w:pPr>
        <w:spacing w:before="120" w:after="120" w:line="240" w:lineRule="auto"/>
        <w:ind w:left="284" w:hanging="284"/>
        <w:jc w:val="both"/>
        <w:rPr>
          <w:rFonts w:ascii="Times New Roman" w:hAnsi="Times New Roman"/>
          <w:sz w:val="24"/>
          <w:szCs w:val="24"/>
        </w:rPr>
      </w:pPr>
      <w:proofErr w:type="spellStart"/>
      <w:r w:rsidRPr="00DD794A">
        <w:rPr>
          <w:rFonts w:ascii="Times New Roman" w:hAnsi="Times New Roman" w:cs="Times New Roman"/>
          <w:sz w:val="24"/>
          <w:szCs w:val="24"/>
          <w:lang w:val="en-US"/>
        </w:rPr>
        <w:t>Tristán</w:t>
      </w:r>
      <w:proofErr w:type="spellEnd"/>
      <w:r w:rsidRPr="00DD794A">
        <w:rPr>
          <w:rFonts w:ascii="Times New Roman" w:hAnsi="Times New Roman" w:cs="Times New Roman"/>
          <w:sz w:val="24"/>
          <w:szCs w:val="24"/>
          <w:lang w:val="en-US"/>
        </w:rPr>
        <w:t xml:space="preserve">, </w:t>
      </w:r>
      <w:r w:rsidRPr="00DD794A">
        <w:rPr>
          <w:rFonts w:ascii="Times New Roman" w:hAnsi="Times New Roman"/>
          <w:sz w:val="24"/>
          <w:szCs w:val="24"/>
          <w:lang w:val="en-US"/>
        </w:rPr>
        <w:t xml:space="preserve">A. (2008). </w:t>
      </w:r>
      <w:r w:rsidRPr="000A5019">
        <w:rPr>
          <w:rFonts w:ascii="Times New Roman" w:hAnsi="Times New Roman"/>
          <w:sz w:val="24"/>
          <w:szCs w:val="24"/>
        </w:rPr>
        <w:t xml:space="preserve">Modificación al modelo de </w:t>
      </w:r>
      <w:proofErr w:type="spellStart"/>
      <w:r w:rsidRPr="000A5019">
        <w:rPr>
          <w:rFonts w:ascii="Times New Roman" w:hAnsi="Times New Roman"/>
          <w:sz w:val="24"/>
          <w:szCs w:val="24"/>
        </w:rPr>
        <w:t>Lawshe</w:t>
      </w:r>
      <w:proofErr w:type="spellEnd"/>
      <w:r w:rsidRPr="000A5019">
        <w:rPr>
          <w:rFonts w:ascii="Times New Roman" w:hAnsi="Times New Roman"/>
          <w:sz w:val="24"/>
          <w:szCs w:val="24"/>
        </w:rPr>
        <w:t xml:space="preserve"> para el dictamen cuantitativo de la validez de conten</w:t>
      </w:r>
      <w:r>
        <w:rPr>
          <w:rFonts w:ascii="Times New Roman" w:hAnsi="Times New Roman"/>
          <w:sz w:val="24"/>
          <w:szCs w:val="24"/>
        </w:rPr>
        <w:t>ido de un instrumento objetivo.</w:t>
      </w:r>
      <w:r w:rsidRPr="000A5019">
        <w:rPr>
          <w:rFonts w:ascii="Times New Roman" w:hAnsi="Times New Roman"/>
          <w:sz w:val="24"/>
          <w:szCs w:val="24"/>
        </w:rPr>
        <w:t xml:space="preserve"> </w:t>
      </w:r>
      <w:r w:rsidRPr="000A5019">
        <w:rPr>
          <w:rFonts w:ascii="Times New Roman" w:hAnsi="Times New Roman"/>
          <w:i/>
          <w:sz w:val="24"/>
          <w:szCs w:val="24"/>
        </w:rPr>
        <w:t>Revista de Avances en Medición</w:t>
      </w:r>
      <w:r w:rsidRPr="000A5019">
        <w:rPr>
          <w:rFonts w:ascii="Times New Roman" w:hAnsi="Times New Roman"/>
          <w:sz w:val="24"/>
          <w:szCs w:val="24"/>
        </w:rPr>
        <w:t>, 6 (1): 37-48</w:t>
      </w:r>
      <w:r w:rsidR="005C0270">
        <w:rPr>
          <w:rFonts w:ascii="Times New Roman" w:hAnsi="Times New Roman"/>
          <w:sz w:val="24"/>
          <w:szCs w:val="24"/>
        </w:rPr>
        <w:t xml:space="preserve">. Recuperado de </w:t>
      </w:r>
      <w:hyperlink r:id="rId18" w:history="1">
        <w:r w:rsidR="005C0270" w:rsidRPr="001C2E24">
          <w:rPr>
            <w:rStyle w:val="Hipervnculo"/>
            <w:rFonts w:ascii="Times New Roman" w:hAnsi="Times New Roman"/>
            <w:sz w:val="24"/>
            <w:szCs w:val="24"/>
          </w:rPr>
          <w:t>http://www.humanas.unal.edu.co/psicometria/files/8413/8574/6036/Articulo4_Indice_de_validez_de_contenido_37-48.pdf</w:t>
        </w:r>
      </w:hyperlink>
      <w:r w:rsidR="005C0270">
        <w:rPr>
          <w:rFonts w:ascii="Times New Roman" w:hAnsi="Times New Roman"/>
          <w:sz w:val="24"/>
          <w:szCs w:val="24"/>
        </w:rPr>
        <w:t xml:space="preserve"> </w:t>
      </w:r>
    </w:p>
    <w:p w14:paraId="7E70F4C7" w14:textId="77777777" w:rsidR="00850B10" w:rsidRDefault="00850B10" w:rsidP="00DD794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s="Times New Roman"/>
          <w:sz w:val="24"/>
          <w:szCs w:val="24"/>
        </w:rPr>
      </w:pPr>
    </w:p>
    <w:p w14:paraId="7E70F4C8" w14:textId="77777777" w:rsidR="0044071C" w:rsidRPr="00AB0274" w:rsidRDefault="0044071C" w:rsidP="00DD794A">
      <w:pPr>
        <w:spacing w:before="120" w:after="120" w:line="240" w:lineRule="auto"/>
        <w:jc w:val="both"/>
        <w:rPr>
          <w:rFonts w:ascii="Times New Roman" w:hAnsi="Times New Roman" w:cs="Times New Roman"/>
          <w:b/>
          <w:sz w:val="24"/>
          <w:szCs w:val="24"/>
        </w:rPr>
      </w:pPr>
    </w:p>
    <w:p w14:paraId="7E70F4C9" w14:textId="77777777" w:rsidR="000E7CF8" w:rsidRPr="00AB0274" w:rsidRDefault="000E7CF8" w:rsidP="00DD794A">
      <w:pPr>
        <w:spacing w:before="120" w:after="120" w:line="240" w:lineRule="auto"/>
        <w:jc w:val="both"/>
        <w:rPr>
          <w:rFonts w:ascii="Times New Roman" w:hAnsi="Times New Roman" w:cs="Times New Roman"/>
          <w:sz w:val="24"/>
          <w:szCs w:val="24"/>
        </w:rPr>
      </w:pPr>
    </w:p>
    <w:p w14:paraId="7E70F4CA" w14:textId="77777777" w:rsidR="000E7CF8" w:rsidRPr="00AB0274" w:rsidRDefault="000E7CF8" w:rsidP="00DD794A">
      <w:pPr>
        <w:spacing w:before="120" w:after="120" w:line="240" w:lineRule="auto"/>
        <w:jc w:val="both"/>
        <w:rPr>
          <w:rFonts w:ascii="Times New Roman" w:hAnsi="Times New Roman" w:cs="Times New Roman"/>
          <w:sz w:val="24"/>
          <w:szCs w:val="24"/>
        </w:rPr>
      </w:pPr>
    </w:p>
    <w:p w14:paraId="7E70F4CB" w14:textId="77777777" w:rsidR="000E7CF8" w:rsidRPr="00AB0274" w:rsidRDefault="000E7CF8" w:rsidP="00DD794A">
      <w:pPr>
        <w:spacing w:before="120" w:after="120" w:line="240" w:lineRule="auto"/>
        <w:jc w:val="both"/>
        <w:rPr>
          <w:rFonts w:ascii="Times New Roman" w:hAnsi="Times New Roman" w:cs="Times New Roman"/>
          <w:sz w:val="24"/>
          <w:szCs w:val="24"/>
        </w:rPr>
      </w:pPr>
    </w:p>
    <w:p w14:paraId="7E70F4CC" w14:textId="77777777" w:rsidR="007906F7" w:rsidRPr="00AB0274" w:rsidRDefault="007906F7" w:rsidP="00DD794A">
      <w:pPr>
        <w:spacing w:before="120" w:after="120" w:line="240" w:lineRule="auto"/>
        <w:jc w:val="both"/>
        <w:rPr>
          <w:rFonts w:ascii="Times New Roman" w:hAnsi="Times New Roman" w:cs="Times New Roman"/>
          <w:sz w:val="24"/>
          <w:szCs w:val="24"/>
        </w:rPr>
      </w:pPr>
    </w:p>
    <w:sectPr w:rsidR="007906F7" w:rsidRPr="00AB027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B9E67" w14:textId="77777777" w:rsidR="00872D14" w:rsidRDefault="00872D14" w:rsidP="00A14285">
      <w:pPr>
        <w:spacing w:after="0" w:line="240" w:lineRule="auto"/>
      </w:pPr>
      <w:r>
        <w:separator/>
      </w:r>
    </w:p>
  </w:endnote>
  <w:endnote w:type="continuationSeparator" w:id="0">
    <w:p w14:paraId="6C521D14" w14:textId="77777777" w:rsidR="00872D14" w:rsidRDefault="00872D14" w:rsidP="00A14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76094" w14:textId="77777777" w:rsidR="00872D14" w:rsidRDefault="00872D14" w:rsidP="00A14285">
      <w:pPr>
        <w:spacing w:after="0" w:line="240" w:lineRule="auto"/>
      </w:pPr>
      <w:r>
        <w:separator/>
      </w:r>
    </w:p>
  </w:footnote>
  <w:footnote w:type="continuationSeparator" w:id="0">
    <w:p w14:paraId="7D7786F5" w14:textId="77777777" w:rsidR="00872D14" w:rsidRDefault="00872D14" w:rsidP="00A142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A3757"/>
    <w:multiLevelType w:val="hybridMultilevel"/>
    <w:tmpl w:val="085068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B71492C"/>
    <w:multiLevelType w:val="hybridMultilevel"/>
    <w:tmpl w:val="085068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4EE5971"/>
    <w:multiLevelType w:val="hybridMultilevel"/>
    <w:tmpl w:val="679A16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4D0"/>
    <w:rsid w:val="000272E0"/>
    <w:rsid w:val="00030628"/>
    <w:rsid w:val="0003557C"/>
    <w:rsid w:val="00050A06"/>
    <w:rsid w:val="00054F04"/>
    <w:rsid w:val="00073E6D"/>
    <w:rsid w:val="0009078B"/>
    <w:rsid w:val="000966F2"/>
    <w:rsid w:val="000C10D1"/>
    <w:rsid w:val="000C3C83"/>
    <w:rsid w:val="000D57D8"/>
    <w:rsid w:val="000E7CF8"/>
    <w:rsid w:val="0015580F"/>
    <w:rsid w:val="00155B37"/>
    <w:rsid w:val="00174BD7"/>
    <w:rsid w:val="001956F1"/>
    <w:rsid w:val="001B70A3"/>
    <w:rsid w:val="001C74C3"/>
    <w:rsid w:val="00216186"/>
    <w:rsid w:val="00267E8E"/>
    <w:rsid w:val="00292EC9"/>
    <w:rsid w:val="00296CEC"/>
    <w:rsid w:val="002A07B6"/>
    <w:rsid w:val="002C7F1B"/>
    <w:rsid w:val="002D5B63"/>
    <w:rsid w:val="002E4DF9"/>
    <w:rsid w:val="00310EDE"/>
    <w:rsid w:val="00336099"/>
    <w:rsid w:val="003463A8"/>
    <w:rsid w:val="003644B1"/>
    <w:rsid w:val="003968B1"/>
    <w:rsid w:val="00397F8A"/>
    <w:rsid w:val="003B2706"/>
    <w:rsid w:val="003B5660"/>
    <w:rsid w:val="003B67AC"/>
    <w:rsid w:val="003C54F1"/>
    <w:rsid w:val="003C6A09"/>
    <w:rsid w:val="003D1953"/>
    <w:rsid w:val="003E3101"/>
    <w:rsid w:val="00430DBC"/>
    <w:rsid w:val="0044071C"/>
    <w:rsid w:val="00443C60"/>
    <w:rsid w:val="00446DA0"/>
    <w:rsid w:val="00466145"/>
    <w:rsid w:val="004726E7"/>
    <w:rsid w:val="004770A9"/>
    <w:rsid w:val="004808E9"/>
    <w:rsid w:val="004F6009"/>
    <w:rsid w:val="005004D0"/>
    <w:rsid w:val="0051521B"/>
    <w:rsid w:val="0053534B"/>
    <w:rsid w:val="00541A75"/>
    <w:rsid w:val="00573E98"/>
    <w:rsid w:val="005820C8"/>
    <w:rsid w:val="00594536"/>
    <w:rsid w:val="005C0270"/>
    <w:rsid w:val="005F0835"/>
    <w:rsid w:val="005F1582"/>
    <w:rsid w:val="00622161"/>
    <w:rsid w:val="00627905"/>
    <w:rsid w:val="00632B28"/>
    <w:rsid w:val="00666316"/>
    <w:rsid w:val="00683ECD"/>
    <w:rsid w:val="006B3E6A"/>
    <w:rsid w:val="006C4679"/>
    <w:rsid w:val="006F00AA"/>
    <w:rsid w:val="006F06D8"/>
    <w:rsid w:val="006F3460"/>
    <w:rsid w:val="00707D42"/>
    <w:rsid w:val="00744FC4"/>
    <w:rsid w:val="00751866"/>
    <w:rsid w:val="0075702C"/>
    <w:rsid w:val="00760DF1"/>
    <w:rsid w:val="007906F7"/>
    <w:rsid w:val="00797524"/>
    <w:rsid w:val="007B2B09"/>
    <w:rsid w:val="007C563E"/>
    <w:rsid w:val="007E72AD"/>
    <w:rsid w:val="007F2CBA"/>
    <w:rsid w:val="0080079D"/>
    <w:rsid w:val="00812D7A"/>
    <w:rsid w:val="008314F1"/>
    <w:rsid w:val="00850B10"/>
    <w:rsid w:val="008565CE"/>
    <w:rsid w:val="00872D14"/>
    <w:rsid w:val="00885810"/>
    <w:rsid w:val="008A4FD7"/>
    <w:rsid w:val="008B44B4"/>
    <w:rsid w:val="008D17B3"/>
    <w:rsid w:val="009032AA"/>
    <w:rsid w:val="0090420D"/>
    <w:rsid w:val="00922AFA"/>
    <w:rsid w:val="009773A8"/>
    <w:rsid w:val="009A07A3"/>
    <w:rsid w:val="009B644B"/>
    <w:rsid w:val="009E46C9"/>
    <w:rsid w:val="009E5CD0"/>
    <w:rsid w:val="009F7B1A"/>
    <w:rsid w:val="00A14285"/>
    <w:rsid w:val="00A22C1E"/>
    <w:rsid w:val="00A44E55"/>
    <w:rsid w:val="00A53333"/>
    <w:rsid w:val="00A615FF"/>
    <w:rsid w:val="00A66CEA"/>
    <w:rsid w:val="00A7603C"/>
    <w:rsid w:val="00AB0274"/>
    <w:rsid w:val="00AC5506"/>
    <w:rsid w:val="00AD6F2A"/>
    <w:rsid w:val="00B6631F"/>
    <w:rsid w:val="00B818AD"/>
    <w:rsid w:val="00B84B33"/>
    <w:rsid w:val="00B866C6"/>
    <w:rsid w:val="00BA11E0"/>
    <w:rsid w:val="00BB1A86"/>
    <w:rsid w:val="00BB2232"/>
    <w:rsid w:val="00BC1AA0"/>
    <w:rsid w:val="00BD1EFF"/>
    <w:rsid w:val="00BF33C8"/>
    <w:rsid w:val="00BF7F11"/>
    <w:rsid w:val="00C0080A"/>
    <w:rsid w:val="00C0141C"/>
    <w:rsid w:val="00C07BF2"/>
    <w:rsid w:val="00C10754"/>
    <w:rsid w:val="00C16604"/>
    <w:rsid w:val="00C61EAF"/>
    <w:rsid w:val="00CB4E0D"/>
    <w:rsid w:val="00CD4A26"/>
    <w:rsid w:val="00CE09D2"/>
    <w:rsid w:val="00CE7C94"/>
    <w:rsid w:val="00D41C5C"/>
    <w:rsid w:val="00D46937"/>
    <w:rsid w:val="00D546D1"/>
    <w:rsid w:val="00D6264E"/>
    <w:rsid w:val="00DA3F9C"/>
    <w:rsid w:val="00DA584B"/>
    <w:rsid w:val="00DB0915"/>
    <w:rsid w:val="00DC5FEC"/>
    <w:rsid w:val="00DD6A31"/>
    <w:rsid w:val="00DD794A"/>
    <w:rsid w:val="00E45E06"/>
    <w:rsid w:val="00E53A64"/>
    <w:rsid w:val="00E67C4F"/>
    <w:rsid w:val="00E851C3"/>
    <w:rsid w:val="00EA37A0"/>
    <w:rsid w:val="00EE021D"/>
    <w:rsid w:val="00F10F9B"/>
    <w:rsid w:val="00F11A8B"/>
    <w:rsid w:val="00F537FC"/>
    <w:rsid w:val="00F67D5F"/>
    <w:rsid w:val="00FA3189"/>
    <w:rsid w:val="00FB7BA5"/>
    <w:rsid w:val="00FC7FF8"/>
    <w:rsid w:val="00FD0847"/>
    <w:rsid w:val="00FE05A6"/>
    <w:rsid w:val="00FE1C4C"/>
    <w:rsid w:val="00FF14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0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004D0"/>
    <w:pPr>
      <w:autoSpaceDE w:val="0"/>
      <w:autoSpaceDN w:val="0"/>
      <w:adjustRightInd w:val="0"/>
      <w:spacing w:after="0" w:line="240" w:lineRule="auto"/>
    </w:pPr>
    <w:rPr>
      <w:rFonts w:ascii="Arial" w:hAnsi="Arial" w:cs="Arial"/>
      <w:color w:val="000000"/>
      <w:sz w:val="24"/>
      <w:szCs w:val="24"/>
      <w:lang w:val="es-ES"/>
    </w:rPr>
  </w:style>
  <w:style w:type="character" w:styleId="Hipervnculo">
    <w:name w:val="Hyperlink"/>
    <w:basedOn w:val="Fuentedeprrafopredeter"/>
    <w:uiPriority w:val="99"/>
    <w:unhideWhenUsed/>
    <w:rsid w:val="005004D0"/>
    <w:rPr>
      <w:color w:val="0563C1" w:themeColor="hyperlink"/>
      <w:u w:val="single"/>
    </w:rPr>
  </w:style>
  <w:style w:type="paragraph" w:customStyle="1" w:styleId="Prrafodelista1">
    <w:name w:val="Párrafo de lista1"/>
    <w:basedOn w:val="Normal"/>
    <w:uiPriority w:val="34"/>
    <w:qFormat/>
    <w:rsid w:val="005004D0"/>
    <w:pPr>
      <w:spacing w:after="200" w:line="276" w:lineRule="auto"/>
      <w:ind w:left="720"/>
      <w:contextualSpacing/>
    </w:pPr>
    <w:rPr>
      <w:rFonts w:ascii="Calibri" w:eastAsia="Calibri" w:hAnsi="Calibri" w:cs="Times New Roman"/>
    </w:rPr>
  </w:style>
  <w:style w:type="character" w:styleId="Refdenotaalpie">
    <w:name w:val="footnote reference"/>
    <w:basedOn w:val="Fuentedeprrafopredeter"/>
    <w:uiPriority w:val="99"/>
    <w:semiHidden/>
    <w:rsid w:val="00A14285"/>
    <w:rPr>
      <w:rFonts w:cs="Times New Roman"/>
    </w:rPr>
  </w:style>
  <w:style w:type="paragraph" w:styleId="Textonotapie">
    <w:name w:val="footnote text"/>
    <w:basedOn w:val="Normal"/>
    <w:link w:val="TextonotapieCar"/>
    <w:uiPriority w:val="99"/>
    <w:rsid w:val="00A14285"/>
    <w:pPr>
      <w:spacing w:after="200" w:line="276" w:lineRule="auto"/>
    </w:pPr>
    <w:rPr>
      <w:rFonts w:ascii="Calibri" w:eastAsia="Calibri" w:hAnsi="Calibri" w:cs="Times New Roman"/>
      <w:sz w:val="20"/>
      <w:szCs w:val="20"/>
      <w:lang w:val="en-US"/>
    </w:rPr>
  </w:style>
  <w:style w:type="character" w:customStyle="1" w:styleId="TextonotapieCar">
    <w:name w:val="Texto nota pie Car"/>
    <w:basedOn w:val="Fuentedeprrafopredeter"/>
    <w:link w:val="Textonotapie"/>
    <w:uiPriority w:val="99"/>
    <w:rsid w:val="00A14285"/>
    <w:rPr>
      <w:rFonts w:ascii="Calibri" w:eastAsia="Calibri" w:hAnsi="Calibri" w:cs="Times New Roman"/>
      <w:sz w:val="20"/>
      <w:szCs w:val="20"/>
      <w:lang w:val="en-US"/>
    </w:rPr>
  </w:style>
  <w:style w:type="table" w:styleId="Tablaconcuadrcula">
    <w:name w:val="Table Grid"/>
    <w:basedOn w:val="Tablanormal"/>
    <w:uiPriority w:val="59"/>
    <w:rsid w:val="007B2B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16186"/>
    <w:pPr>
      <w:spacing w:after="200" w:line="276" w:lineRule="auto"/>
      <w:ind w:left="720"/>
      <w:contextualSpacing/>
    </w:pPr>
    <w:rPr>
      <w:rFonts w:ascii="Calibri" w:eastAsia="Calibri" w:hAnsi="Calibri" w:cs="Times New Roman"/>
    </w:rPr>
  </w:style>
  <w:style w:type="paragraph" w:customStyle="1" w:styleId="REDIEtablastexto">
    <w:name w:val="REDIE_tablas texto"/>
    <w:basedOn w:val="Normal"/>
    <w:autoRedefine/>
    <w:qFormat/>
    <w:rsid w:val="00812D7A"/>
    <w:pPr>
      <w:widowControl w:val="0"/>
      <w:spacing w:after="0" w:line="276" w:lineRule="auto"/>
    </w:pPr>
    <w:rPr>
      <w:rFonts w:ascii="Times New Roman" w:eastAsia="SimSun" w:hAnsi="Times New Roman" w:cs="Times New Roman"/>
      <w:noProof/>
      <w:sz w:val="20"/>
      <w:szCs w:val="16"/>
      <w:lang w:val="es-ES" w:eastAsia="es-MX"/>
    </w:rPr>
  </w:style>
  <w:style w:type="paragraph" w:styleId="Encabezado">
    <w:name w:val="header"/>
    <w:basedOn w:val="Normal"/>
    <w:link w:val="EncabezadoCar"/>
    <w:uiPriority w:val="99"/>
    <w:unhideWhenUsed/>
    <w:rsid w:val="004770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70A9"/>
  </w:style>
  <w:style w:type="paragraph" w:styleId="Piedepgina">
    <w:name w:val="footer"/>
    <w:basedOn w:val="Normal"/>
    <w:link w:val="PiedepginaCar"/>
    <w:uiPriority w:val="99"/>
    <w:unhideWhenUsed/>
    <w:rsid w:val="004770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70A9"/>
  </w:style>
  <w:style w:type="character" w:styleId="Hipervnculovisitado">
    <w:name w:val="FollowedHyperlink"/>
    <w:basedOn w:val="Fuentedeprrafopredeter"/>
    <w:uiPriority w:val="99"/>
    <w:semiHidden/>
    <w:unhideWhenUsed/>
    <w:rsid w:val="00760DF1"/>
    <w:rPr>
      <w:color w:val="954F72" w:themeColor="followedHyperlink"/>
      <w:u w:val="single"/>
    </w:rPr>
  </w:style>
  <w:style w:type="paragraph" w:styleId="HTMLconformatoprevio">
    <w:name w:val="HTML Preformatted"/>
    <w:basedOn w:val="Normal"/>
    <w:link w:val="HTMLconformatoprevioCar"/>
    <w:uiPriority w:val="99"/>
    <w:semiHidden/>
    <w:unhideWhenUsed/>
    <w:rsid w:val="00EA3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EA37A0"/>
    <w:rPr>
      <w:rFonts w:ascii="Courier New" w:eastAsia="Times New Roman" w:hAnsi="Courier New" w:cs="Courier New"/>
      <w:sz w:val="20"/>
      <w:szCs w:val="20"/>
      <w:lang w:eastAsia="es-MX"/>
    </w:rPr>
  </w:style>
  <w:style w:type="paragraph" w:styleId="Textodeglobo">
    <w:name w:val="Balloon Text"/>
    <w:basedOn w:val="Normal"/>
    <w:link w:val="TextodegloboCar"/>
    <w:uiPriority w:val="99"/>
    <w:semiHidden/>
    <w:unhideWhenUsed/>
    <w:rsid w:val="00DD79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79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004D0"/>
    <w:pPr>
      <w:autoSpaceDE w:val="0"/>
      <w:autoSpaceDN w:val="0"/>
      <w:adjustRightInd w:val="0"/>
      <w:spacing w:after="0" w:line="240" w:lineRule="auto"/>
    </w:pPr>
    <w:rPr>
      <w:rFonts w:ascii="Arial" w:hAnsi="Arial" w:cs="Arial"/>
      <w:color w:val="000000"/>
      <w:sz w:val="24"/>
      <w:szCs w:val="24"/>
      <w:lang w:val="es-ES"/>
    </w:rPr>
  </w:style>
  <w:style w:type="character" w:styleId="Hipervnculo">
    <w:name w:val="Hyperlink"/>
    <w:basedOn w:val="Fuentedeprrafopredeter"/>
    <w:uiPriority w:val="99"/>
    <w:unhideWhenUsed/>
    <w:rsid w:val="005004D0"/>
    <w:rPr>
      <w:color w:val="0563C1" w:themeColor="hyperlink"/>
      <w:u w:val="single"/>
    </w:rPr>
  </w:style>
  <w:style w:type="paragraph" w:customStyle="1" w:styleId="Prrafodelista1">
    <w:name w:val="Párrafo de lista1"/>
    <w:basedOn w:val="Normal"/>
    <w:uiPriority w:val="34"/>
    <w:qFormat/>
    <w:rsid w:val="005004D0"/>
    <w:pPr>
      <w:spacing w:after="200" w:line="276" w:lineRule="auto"/>
      <w:ind w:left="720"/>
      <w:contextualSpacing/>
    </w:pPr>
    <w:rPr>
      <w:rFonts w:ascii="Calibri" w:eastAsia="Calibri" w:hAnsi="Calibri" w:cs="Times New Roman"/>
    </w:rPr>
  </w:style>
  <w:style w:type="character" w:styleId="Refdenotaalpie">
    <w:name w:val="footnote reference"/>
    <w:basedOn w:val="Fuentedeprrafopredeter"/>
    <w:uiPriority w:val="99"/>
    <w:semiHidden/>
    <w:rsid w:val="00A14285"/>
    <w:rPr>
      <w:rFonts w:cs="Times New Roman"/>
    </w:rPr>
  </w:style>
  <w:style w:type="paragraph" w:styleId="Textonotapie">
    <w:name w:val="footnote text"/>
    <w:basedOn w:val="Normal"/>
    <w:link w:val="TextonotapieCar"/>
    <w:uiPriority w:val="99"/>
    <w:rsid w:val="00A14285"/>
    <w:pPr>
      <w:spacing w:after="200" w:line="276" w:lineRule="auto"/>
    </w:pPr>
    <w:rPr>
      <w:rFonts w:ascii="Calibri" w:eastAsia="Calibri" w:hAnsi="Calibri" w:cs="Times New Roman"/>
      <w:sz w:val="20"/>
      <w:szCs w:val="20"/>
      <w:lang w:val="en-US"/>
    </w:rPr>
  </w:style>
  <w:style w:type="character" w:customStyle="1" w:styleId="TextonotapieCar">
    <w:name w:val="Texto nota pie Car"/>
    <w:basedOn w:val="Fuentedeprrafopredeter"/>
    <w:link w:val="Textonotapie"/>
    <w:uiPriority w:val="99"/>
    <w:rsid w:val="00A14285"/>
    <w:rPr>
      <w:rFonts w:ascii="Calibri" w:eastAsia="Calibri" w:hAnsi="Calibri" w:cs="Times New Roman"/>
      <w:sz w:val="20"/>
      <w:szCs w:val="20"/>
      <w:lang w:val="en-US"/>
    </w:rPr>
  </w:style>
  <w:style w:type="table" w:styleId="Tablaconcuadrcula">
    <w:name w:val="Table Grid"/>
    <w:basedOn w:val="Tablanormal"/>
    <w:uiPriority w:val="59"/>
    <w:rsid w:val="007B2B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16186"/>
    <w:pPr>
      <w:spacing w:after="200" w:line="276" w:lineRule="auto"/>
      <w:ind w:left="720"/>
      <w:contextualSpacing/>
    </w:pPr>
    <w:rPr>
      <w:rFonts w:ascii="Calibri" w:eastAsia="Calibri" w:hAnsi="Calibri" w:cs="Times New Roman"/>
    </w:rPr>
  </w:style>
  <w:style w:type="paragraph" w:customStyle="1" w:styleId="REDIEtablastexto">
    <w:name w:val="REDIE_tablas texto"/>
    <w:basedOn w:val="Normal"/>
    <w:autoRedefine/>
    <w:qFormat/>
    <w:rsid w:val="00812D7A"/>
    <w:pPr>
      <w:widowControl w:val="0"/>
      <w:spacing w:after="0" w:line="276" w:lineRule="auto"/>
    </w:pPr>
    <w:rPr>
      <w:rFonts w:ascii="Times New Roman" w:eastAsia="SimSun" w:hAnsi="Times New Roman" w:cs="Times New Roman"/>
      <w:noProof/>
      <w:sz w:val="20"/>
      <w:szCs w:val="16"/>
      <w:lang w:val="es-ES" w:eastAsia="es-MX"/>
    </w:rPr>
  </w:style>
  <w:style w:type="paragraph" w:styleId="Encabezado">
    <w:name w:val="header"/>
    <w:basedOn w:val="Normal"/>
    <w:link w:val="EncabezadoCar"/>
    <w:uiPriority w:val="99"/>
    <w:unhideWhenUsed/>
    <w:rsid w:val="004770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70A9"/>
  </w:style>
  <w:style w:type="paragraph" w:styleId="Piedepgina">
    <w:name w:val="footer"/>
    <w:basedOn w:val="Normal"/>
    <w:link w:val="PiedepginaCar"/>
    <w:uiPriority w:val="99"/>
    <w:unhideWhenUsed/>
    <w:rsid w:val="004770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70A9"/>
  </w:style>
  <w:style w:type="character" w:styleId="Hipervnculovisitado">
    <w:name w:val="FollowedHyperlink"/>
    <w:basedOn w:val="Fuentedeprrafopredeter"/>
    <w:uiPriority w:val="99"/>
    <w:semiHidden/>
    <w:unhideWhenUsed/>
    <w:rsid w:val="00760DF1"/>
    <w:rPr>
      <w:color w:val="954F72" w:themeColor="followedHyperlink"/>
      <w:u w:val="single"/>
    </w:rPr>
  </w:style>
  <w:style w:type="paragraph" w:styleId="HTMLconformatoprevio">
    <w:name w:val="HTML Preformatted"/>
    <w:basedOn w:val="Normal"/>
    <w:link w:val="HTMLconformatoprevioCar"/>
    <w:uiPriority w:val="99"/>
    <w:semiHidden/>
    <w:unhideWhenUsed/>
    <w:rsid w:val="00EA3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EA37A0"/>
    <w:rPr>
      <w:rFonts w:ascii="Courier New" w:eastAsia="Times New Roman" w:hAnsi="Courier New" w:cs="Courier New"/>
      <w:sz w:val="20"/>
      <w:szCs w:val="20"/>
      <w:lang w:eastAsia="es-MX"/>
    </w:rPr>
  </w:style>
  <w:style w:type="paragraph" w:styleId="Textodeglobo">
    <w:name w:val="Balloon Text"/>
    <w:basedOn w:val="Normal"/>
    <w:link w:val="TextodegloboCar"/>
    <w:uiPriority w:val="99"/>
    <w:semiHidden/>
    <w:unhideWhenUsed/>
    <w:rsid w:val="00DD79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79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71888">
      <w:bodyDiv w:val="1"/>
      <w:marLeft w:val="0"/>
      <w:marRight w:val="0"/>
      <w:marTop w:val="0"/>
      <w:marBottom w:val="0"/>
      <w:divBdr>
        <w:top w:val="none" w:sz="0" w:space="0" w:color="auto"/>
        <w:left w:val="none" w:sz="0" w:space="0" w:color="auto"/>
        <w:bottom w:val="none" w:sz="0" w:space="0" w:color="auto"/>
        <w:right w:val="none" w:sz="0" w:space="0" w:color="auto"/>
      </w:divBdr>
    </w:div>
    <w:div w:id="442303928">
      <w:bodyDiv w:val="1"/>
      <w:marLeft w:val="0"/>
      <w:marRight w:val="0"/>
      <w:marTop w:val="0"/>
      <w:marBottom w:val="0"/>
      <w:divBdr>
        <w:top w:val="none" w:sz="0" w:space="0" w:color="auto"/>
        <w:left w:val="none" w:sz="0" w:space="0" w:color="auto"/>
        <w:bottom w:val="none" w:sz="0" w:space="0" w:color="auto"/>
        <w:right w:val="none" w:sz="0" w:space="0" w:color="auto"/>
      </w:divBdr>
    </w:div>
    <w:div w:id="1062486494">
      <w:bodyDiv w:val="1"/>
      <w:marLeft w:val="0"/>
      <w:marRight w:val="0"/>
      <w:marTop w:val="0"/>
      <w:marBottom w:val="0"/>
      <w:divBdr>
        <w:top w:val="none" w:sz="0" w:space="0" w:color="auto"/>
        <w:left w:val="none" w:sz="0" w:space="0" w:color="auto"/>
        <w:bottom w:val="none" w:sz="0" w:space="0" w:color="auto"/>
        <w:right w:val="none" w:sz="0" w:space="0" w:color="auto"/>
      </w:divBdr>
    </w:div>
    <w:div w:id="11592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efam.org.pe/intranet/CEDOSA/metodo%20de%20evaluacion%20minicex.pdf" TargetMode="External"/><Relationship Id="rId13" Type="http://schemas.openxmlformats.org/officeDocument/2006/relationships/hyperlink" Target="http://www.ncbi.nlm.nih.gov/pubmed/8166912" TargetMode="External"/><Relationship Id="rId18" Type="http://schemas.openxmlformats.org/officeDocument/2006/relationships/hyperlink" Target="http://www.humanas.unal.edu.co/psicometria/files/8413/8574/6036/Articulo4_Indice_de_validez_de_contenido_37-48.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ja.com.au/journal/2009/191/4/clinical-supervision-consultants-teaching-hospitals" TargetMode="External"/><Relationship Id="rId17" Type="http://schemas.openxmlformats.org/officeDocument/2006/relationships/hyperlink" Target="http://www.fundacionlegadopatronus.org/libro.pdf" TargetMode="External"/><Relationship Id="rId2" Type="http://schemas.openxmlformats.org/officeDocument/2006/relationships/styles" Target="styles.xml"/><Relationship Id="rId16" Type="http://schemas.openxmlformats.org/officeDocument/2006/relationships/hyperlink" Target="http://www.ncbi.nlm.nih.gov/pubmed/240050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ttcnetwork.org/regcenters/productDocs/16/TAP21AManual.pdf" TargetMode="External"/><Relationship Id="rId5" Type="http://schemas.openxmlformats.org/officeDocument/2006/relationships/webSettings" Target="webSettings.xml"/><Relationship Id="rId15" Type="http://schemas.openxmlformats.org/officeDocument/2006/relationships/hyperlink" Target="http://riem.facmed.unam.mx/sites/all/archivos/V1Num04/08_AR_LA_ENSENANZA_DE_LA_CLINICA.PDF" TargetMode="External"/><Relationship Id="rId10" Type="http://schemas.openxmlformats.org/officeDocument/2006/relationships/hyperlink" Target="http://www.cucs.udg.mx/revistas/edu_desarrollo/anteriores/28/028_Gomez.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ielo.isciii.es/pdf/edu/v12n2/revision.pdf" TargetMode="External"/><Relationship Id="rId14" Type="http://schemas.openxmlformats.org/officeDocument/2006/relationships/hyperlink" Target="http://www.ncbi.nlm.nih.gov/pubmed/1619944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817</TotalTime>
  <Pages>19</Pages>
  <Words>8225</Words>
  <Characters>45240</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Abdel</dc:creator>
  <cp:keywords/>
  <dc:description/>
  <cp:lastModifiedBy>UABC</cp:lastModifiedBy>
  <cp:revision>84</cp:revision>
  <dcterms:created xsi:type="dcterms:W3CDTF">2016-12-05T18:03:00Z</dcterms:created>
  <dcterms:modified xsi:type="dcterms:W3CDTF">2018-01-08T21:59:00Z</dcterms:modified>
</cp:coreProperties>
</file>